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6" w:rsidRDefault="00772B36">
      <w:pPr>
        <w:spacing w:after="281" w:line="1" w:lineRule="exact"/>
      </w:pPr>
    </w:p>
    <w:p w:rsidR="00772B36" w:rsidRDefault="00772B36">
      <w:pPr>
        <w:spacing w:line="1" w:lineRule="exact"/>
        <w:sectPr w:rsidR="00772B36">
          <w:headerReference w:type="even" r:id="rId7"/>
          <w:headerReference w:type="default" r:id="rId8"/>
          <w:headerReference w:type="first" r:id="rId9"/>
          <w:pgSz w:w="11900" w:h="16840"/>
          <w:pgMar w:top="586" w:right="274" w:bottom="2566" w:left="1421" w:header="0" w:footer="3" w:gutter="0"/>
          <w:pgNumType w:start="1"/>
          <w:cols w:space="720"/>
          <w:noEndnote/>
          <w:titlePg/>
          <w:docGrid w:linePitch="360"/>
        </w:sectPr>
      </w:pPr>
    </w:p>
    <w:p w:rsidR="00772B36" w:rsidRDefault="00772B36">
      <w:pPr>
        <w:spacing w:line="1" w:lineRule="exact"/>
      </w:pPr>
    </w:p>
    <w:p w:rsidR="00772B36" w:rsidRPr="007A4915" w:rsidRDefault="007A4915" w:rsidP="007A4915">
      <w:pPr>
        <w:pStyle w:val="Nagwek10"/>
        <w:keepNext/>
        <w:keepLines/>
        <w:shd w:val="clear" w:color="auto" w:fill="auto"/>
        <w:ind w:left="5529"/>
        <w:rPr>
          <w:rFonts w:ascii="Times New Roman" w:hAnsi="Times New Roman" w:cs="Times New Roman"/>
          <w:color w:val="auto"/>
          <w:sz w:val="22"/>
          <w:szCs w:val="22"/>
        </w:rPr>
      </w:pPr>
      <w:r w:rsidRPr="007A491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EA6E11">
        <w:rPr>
          <w:rFonts w:ascii="Times New Roman" w:hAnsi="Times New Roman" w:cs="Times New Roman"/>
          <w:color w:val="auto"/>
          <w:sz w:val="22"/>
          <w:szCs w:val="22"/>
        </w:rPr>
        <w:t>lsztyn, dnia 10 października 2018</w:t>
      </w:r>
      <w:r w:rsidRPr="007A4915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772B36" w:rsidRDefault="00CF72A0">
      <w:pPr>
        <w:pStyle w:val="Nagwek20"/>
        <w:keepNext/>
        <w:keepLines/>
        <w:shd w:val="clear" w:color="auto" w:fill="auto"/>
        <w:spacing w:after="180"/>
      </w:pPr>
      <w:bookmarkStart w:id="0" w:name="bookmark2"/>
      <w:bookmarkStart w:id="1" w:name="bookmark3"/>
      <w:r>
        <w:t>WARMIŃSKO-MAZURSKI</w:t>
      </w:r>
      <w:bookmarkEnd w:id="0"/>
      <w:bookmarkEnd w:id="1"/>
    </w:p>
    <w:p w:rsidR="00772B36" w:rsidRDefault="00CF72A0">
      <w:pPr>
        <w:pStyle w:val="Nagwek20"/>
        <w:keepNext/>
        <w:keepLines/>
        <w:shd w:val="clear" w:color="auto" w:fill="auto"/>
        <w:spacing w:after="18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772B36" w:rsidRDefault="00CF72A0">
      <w:pPr>
        <w:pStyle w:val="Nagwek20"/>
        <w:keepNext/>
        <w:keepLines/>
        <w:shd w:val="clear" w:color="auto" w:fill="auto"/>
        <w:spacing w:after="760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772B36" w:rsidRDefault="00CF72A0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PU.8361.137.2018.GM</w:t>
      </w: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Pr="007A4915" w:rsidRDefault="007A4915" w:rsidP="007A4915">
      <w:pPr>
        <w:pStyle w:val="Teksttreci0"/>
        <w:shd w:val="clear" w:color="auto" w:fill="auto"/>
        <w:spacing w:line="240" w:lineRule="auto"/>
        <w:ind w:left="5529" w:firstLine="0"/>
        <w:rPr>
          <w:b/>
          <w:bCs/>
          <w:i/>
          <w:sz w:val="22"/>
          <w:szCs w:val="22"/>
        </w:rPr>
      </w:pPr>
      <w:r w:rsidRPr="007A4915">
        <w:rPr>
          <w:b/>
          <w:bCs/>
          <w:i/>
          <w:sz w:val="22"/>
          <w:szCs w:val="22"/>
        </w:rPr>
        <w:t>(Dane zanonimizowane)</w:t>
      </w: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72B36" w:rsidRDefault="00CF72A0">
      <w:pPr>
        <w:pStyle w:val="Teksttreci30"/>
        <w:shd w:val="clear" w:color="auto" w:fill="auto"/>
        <w:spacing w:after="560"/>
        <w:ind w:firstLine="0"/>
        <w:jc w:val="center"/>
      </w:pPr>
      <w:r>
        <w:t>DECYZJA</w:t>
      </w:r>
    </w:p>
    <w:p w:rsidR="00772B36" w:rsidRDefault="00CF72A0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</w:t>
      </w:r>
      <w:r>
        <w:rPr>
          <w:b/>
          <w:bCs/>
          <w:sz w:val="22"/>
          <w:szCs w:val="22"/>
        </w:rPr>
        <w:t xml:space="preserve">art. 91 pkt 25 i pkt 26 lit c w zw. z art. 92 pkt 1 i pkt 3 oraz z art. 93 ust. 2 i ust. 5 ustawy </w:t>
      </w:r>
      <w:r>
        <w:t xml:space="preserve">z dnia 11 września 2015 r. </w:t>
      </w:r>
      <w:r>
        <w:rPr>
          <w:b/>
          <w:bCs/>
          <w:sz w:val="22"/>
          <w:szCs w:val="22"/>
        </w:rPr>
        <w:t xml:space="preserve">o zużytym sprzęcie elektrycznym i elektronicznym </w:t>
      </w:r>
      <w:r>
        <w:t xml:space="preserve">(tekst jednolity Dz. U. z 2018 r., póz. 1466) /dalej: „ustawa o zużytym sprzęcie"/oraz art. </w:t>
      </w:r>
      <w:r>
        <w:rPr>
          <w:b/>
          <w:bCs/>
          <w:sz w:val="22"/>
          <w:szCs w:val="22"/>
        </w:rPr>
        <w:t xml:space="preserve">104 § 1 ustawy </w:t>
      </w:r>
      <w:r>
        <w:t xml:space="preserve">z dnia 14 czerwca 1960 r. </w:t>
      </w:r>
      <w:r>
        <w:rPr>
          <w:b/>
          <w:bCs/>
          <w:sz w:val="22"/>
          <w:szCs w:val="22"/>
        </w:rPr>
        <w:t xml:space="preserve">- Kodeks postępowania administracyjnego </w:t>
      </w:r>
      <w:r>
        <w:t>(tekst jednolity Dz. U. z 2017 r., poz. 1257 ze zm.) /dalej: „k.p.a.”/ po przeprowadzeniu postępowania administracyjnego</w:t>
      </w:r>
    </w:p>
    <w:p w:rsidR="00772B36" w:rsidRDefault="007A4915" w:rsidP="007A4915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CF72A0">
        <w:rPr>
          <w:b/>
          <w:bCs/>
          <w:sz w:val="22"/>
          <w:szCs w:val="22"/>
        </w:rPr>
        <w:t>ymierzam</w:t>
      </w:r>
    </w:p>
    <w:p w:rsidR="007A4915" w:rsidRDefault="007A4915" w:rsidP="007A4915">
      <w:pPr>
        <w:pStyle w:val="Teksttreci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72B36" w:rsidRDefault="007A4915" w:rsidP="007A4915">
      <w:pPr>
        <w:pStyle w:val="Teksttreci0"/>
        <w:shd w:val="clear" w:color="auto" w:fill="auto"/>
        <w:ind w:firstLine="0"/>
        <w:jc w:val="both"/>
      </w:pPr>
      <w:r w:rsidRPr="007A4915">
        <w:rPr>
          <w:b/>
          <w:i/>
        </w:rPr>
        <w:t>(Dane zanonimizowane)</w:t>
      </w:r>
      <w:r>
        <w:t xml:space="preserve"> </w:t>
      </w:r>
      <w:r w:rsidR="00CF72A0">
        <w:t xml:space="preserve">karę pieniężną w kwocie </w:t>
      </w:r>
      <w:r w:rsidR="00CF72A0">
        <w:rPr>
          <w:b/>
          <w:bCs/>
          <w:sz w:val="22"/>
          <w:szCs w:val="22"/>
        </w:rPr>
        <w:t>5 000 zł (pięć</w:t>
      </w:r>
      <w:r>
        <w:rPr>
          <w:b/>
          <w:bCs/>
          <w:sz w:val="22"/>
          <w:szCs w:val="22"/>
        </w:rPr>
        <w:t xml:space="preserve"> </w:t>
      </w:r>
      <w:r w:rsidR="00CF72A0">
        <w:rPr>
          <w:b/>
          <w:bCs/>
          <w:sz w:val="22"/>
          <w:szCs w:val="22"/>
        </w:rPr>
        <w:t xml:space="preserve">tysięcy złotych), </w:t>
      </w:r>
      <w:r w:rsidR="00CF72A0">
        <w:t>w związku z nieuwidocznieniem w</w:t>
      </w:r>
      <w:r>
        <w:t xml:space="preserve"> </w:t>
      </w:r>
      <w:r w:rsidRPr="007A4915">
        <w:rPr>
          <w:b/>
          <w:i/>
        </w:rPr>
        <w:t>(Dane zanonimizowane)</w:t>
      </w:r>
      <w:r>
        <w:t xml:space="preserve"> i</w:t>
      </w:r>
      <w:r w:rsidR="00CF72A0">
        <w:t>nformacji, że przy zakupie sprzętu elektrycznego lub</w:t>
      </w:r>
      <w:r>
        <w:t xml:space="preserve"> </w:t>
      </w:r>
      <w:r w:rsidR="00CF72A0">
        <w:t>elektronicznego przyjmowany jest nieodpłatnie zużyty sprzęt tego samego rodzaju w ilości sztuka za sztukę oraz informacji o punktach zbierania zużytego sprzętu elektrycznego i elektronicznego.</w:t>
      </w:r>
    </w:p>
    <w:p w:rsidR="00772B36" w:rsidRDefault="00CF72A0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772B36" w:rsidRDefault="00CF72A0" w:rsidP="007A4915">
      <w:pPr>
        <w:pStyle w:val="Teksttreci0"/>
        <w:shd w:val="clear" w:color="auto" w:fill="auto"/>
        <w:ind w:firstLine="740"/>
        <w:jc w:val="both"/>
      </w:pPr>
      <w:r>
        <w:t>W wyniku kontroli przeprowadzonej w dniach 25 lipca - 3 sierpnia 2018 r. na podstawie upoważnienia Warmińsko-Mazurskiego Wojewódzkiego Inspektora Inspekcji</w:t>
      </w:r>
      <w:r w:rsidR="007A4915">
        <w:t xml:space="preserve"> </w:t>
      </w:r>
      <w:r>
        <w:t>Handlowej nr PU.8356.149.2018 z dnia 25 lipca 2018 r. inspektorzy Wojewódzkiego</w:t>
      </w:r>
      <w:r w:rsidR="007A4915">
        <w:t xml:space="preserve"> </w:t>
      </w:r>
      <w:r>
        <w:t xml:space="preserve">Inspektoratu Inspekcji Handlowej w Olsztynie w </w:t>
      </w:r>
      <w:r w:rsidR="007A4915" w:rsidRPr="007A4915">
        <w:rPr>
          <w:b/>
          <w:i/>
        </w:rPr>
        <w:t>(Dane zanonimizowane)</w:t>
      </w:r>
      <w:r w:rsidR="007A4915">
        <w:t xml:space="preserve"> </w:t>
      </w:r>
      <w:r>
        <w:t>stwierdzili, że w ww. punkcie sprzedaży nie uwidoczniono informacji, iż przy zakupie sprzętu elektrycznego lub elektronicznego przyjmowany jest nieodpłatnie zużyty sprzęt tego samego rodzaju w ilości sztuka za sztukę oraz informacji o punktach zbierania zużytego sprzętu elektrycznego i elektronicznego. Szczegóły zostały zawarte w protokole kontroli nr</w:t>
      </w:r>
      <w:r w:rsidR="007A4915">
        <w:t xml:space="preserve"> </w:t>
      </w:r>
      <w:r>
        <w:t>PU.8361.137.2018.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Kontrolę przeprowadzono na podstawie art. 19 ust. 1 rozporządzenia Parlamentu Europejskiego i Rady (WE) Nr 765/2008 z dnia 9 lipca 2008 r. ustanawiającego wymagania w zakresie akredytacji i nadzoru rynku odnoszące się do warunków wprowadzania produktów do obrotu i uchylające rozporządzenie (EWG) nr 339/93 (Dz. Urz. UE L 218 z 13.08.2008, str. 30), art. 58 ust. 2 pkt 1, art. 64 ust. 1 i 2 ustawy z dnia 13 kwietnia 2016 r. o systemach oceny zgodności i nadzoru rynku (tekst jednolity Dz. U. z 2017 r., poz. 1398), art. 3 ust. 1 pkt laa, 2, 2a, 6 ustawy z dnia 15 grudnia 2000 r. o Inspekcji Handlowej (tekst jednolity Dz. U. z 2017 r., poz. 1063 ze zm.).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Uprzednio, zgodnie z art. 48 ust. 1 ustawy z dnia 6 marca 2018 r. - Prawo przedsiębiorców (Dz. U. z 2018 r., poz. 646 ze zm.), skierowano zawiadomienie o zamiarze wszczęcia kontroli nr PU.8355.51.2018 z dnia 3 lipca 2018 r., które zostało doręczone przedsiębiorcy w dniu 9 lipca 2018 r.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Stwierdzone nieprawidłowości są bezsprzeczne. Powyższe zostało udokumentowane w protokole kontroli (numer akt PU.8361.137.2018) oraz w dołączonych do niego materiałach.</w:t>
      </w:r>
    </w:p>
    <w:p w:rsidR="00772B36" w:rsidRDefault="00CF72A0">
      <w:pPr>
        <w:pStyle w:val="Teksttreci0"/>
        <w:shd w:val="clear" w:color="auto" w:fill="auto"/>
        <w:spacing w:after="120"/>
        <w:ind w:firstLine="760"/>
        <w:jc w:val="both"/>
        <w:sectPr w:rsidR="00772B36">
          <w:type w:val="continuous"/>
          <w:pgSz w:w="11900" w:h="16840"/>
          <w:pgMar w:top="1177" w:right="1373" w:bottom="1511" w:left="1350" w:header="0" w:footer="3" w:gutter="0"/>
          <w:cols w:space="720"/>
          <w:noEndnote/>
          <w:docGrid w:linePitch="360"/>
        </w:sectPr>
      </w:pPr>
      <w:r>
        <w:t>Biorąc pod uwagę, że prowadzenie działalności gospodarczej ma charakter profesjonalny, strona postępowania zobowiązana jest' do przestrzegania przepisów dotyczących obszaru wykonywanej działalności. Ochrona gospodarczych interesów państwa oraz interesów konsumentów, a także ochrona środowiska w zakresie sprzedaży sprzętu elektrycznego i elektronicznego, w tym postępowania ze zużytym sprzętem, jest nie do przecenienia.</w:t>
      </w:r>
    </w:p>
    <w:p w:rsidR="00772B36" w:rsidRDefault="00772B36">
      <w:pPr>
        <w:jc w:val="center"/>
        <w:rPr>
          <w:sz w:val="2"/>
          <w:szCs w:val="2"/>
        </w:rPr>
      </w:pPr>
    </w:p>
    <w:p w:rsidR="00772B36" w:rsidRDefault="00772B36">
      <w:pPr>
        <w:spacing w:after="959" w:line="1" w:lineRule="exact"/>
      </w:pP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Zgodnie z art. 93 ust. 4 ustawy o zużytym sprzęcie elektrycznym jeżeli podmiot podlegający ukaraniu przedstawi organowi dowody i okoliczności wskazujące, że podmiot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Strona postępowania (podmiot podlegający ukaraniu) nie przedstawiła żadnych argumentów mogących doprowadzić do zastosowania art. 93 ust. 4 przedmiotowej ustawy 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W związku z powyższym, Warmińsko-Mazurski Wojewódzki Inspektor Inspekcji Handlowej uznał, że stwierdzone nieprawidłowości dają podstawę do wszczęcia postępowania administracyjnego w przedmiocie wymierzenia kary pieniężnej kontrolowanemu przedsiębiorcy.</w:t>
      </w:r>
    </w:p>
    <w:p w:rsidR="00772B36" w:rsidRDefault="00CF72A0">
      <w:pPr>
        <w:pStyle w:val="Teksttreci0"/>
        <w:shd w:val="clear" w:color="auto" w:fill="auto"/>
        <w:ind w:firstLine="760"/>
        <w:jc w:val="both"/>
      </w:pPr>
      <w:r>
        <w:t>W ramach postępowania kontrolnego stwierdzono m. in., że ww. punkcie sprzedaży nie uwidoczniono informacji wymaganych postanowieniami ustawy o zużytym sprzęcie, tj.:</w:t>
      </w:r>
    </w:p>
    <w:p w:rsidR="00772B36" w:rsidRDefault="00CF72A0">
      <w:pPr>
        <w:pStyle w:val="Teksttreci0"/>
        <w:numPr>
          <w:ilvl w:val="0"/>
          <w:numId w:val="1"/>
        </w:numPr>
        <w:shd w:val="clear" w:color="auto" w:fill="auto"/>
        <w:tabs>
          <w:tab w:val="left" w:pos="277"/>
        </w:tabs>
        <w:ind w:left="320" w:hanging="320"/>
        <w:jc w:val="both"/>
      </w:pPr>
      <w:r>
        <w:t>art. 37 ust. 4 ww. ustawy, zgodnie z którym w widocznym miejscu w punkcie sprzedaży umieszcza się informacje, że przy zakupie sprzętu elektrycznego lub elektronicznego przyjmowany jest nieodpłatnie zużyty sprzęt tego samego rodzaju w ilości sztuka za sztukę,</w:t>
      </w:r>
    </w:p>
    <w:p w:rsidR="00772B36" w:rsidRDefault="00CF72A0">
      <w:pPr>
        <w:pStyle w:val="Teksttreci0"/>
        <w:numPr>
          <w:ilvl w:val="0"/>
          <w:numId w:val="1"/>
        </w:numPr>
        <w:shd w:val="clear" w:color="auto" w:fill="auto"/>
        <w:tabs>
          <w:tab w:val="left" w:pos="277"/>
        </w:tabs>
        <w:ind w:left="320" w:hanging="320"/>
        <w:jc w:val="both"/>
      </w:pPr>
      <w:r>
        <w:t>art. 39 ust. 2 ww. ustawy nakładający obowiązek umieszczenia informacji o punktach zbiórki zużytego sprzętu elektrycznego i elektronicznego.</w:t>
      </w:r>
    </w:p>
    <w:p w:rsidR="00772B36" w:rsidRDefault="00CF72A0" w:rsidP="00DE2DAA">
      <w:pPr>
        <w:pStyle w:val="Teksttreci0"/>
        <w:shd w:val="clear" w:color="auto" w:fill="auto"/>
        <w:spacing w:after="120" w:line="240" w:lineRule="auto"/>
        <w:ind w:firstLine="740"/>
        <w:jc w:val="both"/>
      </w:pPr>
      <w:r>
        <w:t>Pismem z dnia 11 września 2018 r. Warmińsko-Mazurski Wojewódzki Inspektor</w:t>
      </w:r>
    </w:p>
    <w:p w:rsidR="00772B36" w:rsidRDefault="00CF72A0" w:rsidP="00DE2DAA">
      <w:pPr>
        <w:pStyle w:val="Teksttreci0"/>
        <w:shd w:val="clear" w:color="auto" w:fill="auto"/>
        <w:ind w:firstLine="0"/>
        <w:jc w:val="both"/>
      </w:pPr>
      <w:r>
        <w:t>Inspekcji Handlowej poinformował</w:t>
      </w:r>
      <w:r w:rsidR="007A4915">
        <w:t xml:space="preserve"> </w:t>
      </w:r>
      <w:r w:rsidR="007A4915" w:rsidRPr="00DE2DAA">
        <w:rPr>
          <w:b/>
          <w:i/>
        </w:rPr>
        <w:t>(Dane zanonimizowane)</w:t>
      </w:r>
      <w:r w:rsidR="00DE2DAA">
        <w:rPr>
          <w:b/>
          <w:i/>
        </w:rPr>
        <w:t xml:space="preserve"> </w:t>
      </w:r>
      <w:r>
        <w:t>o wszczęciu postępowania administracyjnego oraz o przysługującym stronie prawie do zapoznania się z aktami sprawy i prawie wypowiedzenia się co do zebranych dowodów i materiałów.</w:t>
      </w:r>
    </w:p>
    <w:p w:rsidR="00772B36" w:rsidRDefault="00CF72A0" w:rsidP="00DE2DAA">
      <w:pPr>
        <w:pStyle w:val="Teksttreci0"/>
        <w:shd w:val="clear" w:color="auto" w:fill="auto"/>
        <w:ind w:firstLine="760"/>
        <w:jc w:val="both"/>
      </w:pPr>
      <w:r>
        <w:t>Strona postępowania nie ustosunkowała się do wyżej wymienionego pisma.</w:t>
      </w:r>
    </w:p>
    <w:p w:rsidR="00772B36" w:rsidRDefault="00CF72A0" w:rsidP="00DE2DAA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(pismo z dnia 28 września 2018 r.) poinformował stronę o zakończeniu postępowania administracyjnego </w:t>
      </w:r>
      <w:r>
        <w:rPr>
          <w:color w:val="1B1D5C"/>
        </w:rPr>
        <w:t xml:space="preserve">* </w:t>
      </w:r>
      <w:r>
        <w:t>w przedmiotowej sprawie, a także o przysługującym Jej uprawnieniu do zapoznania się z aktami sprawy i prawie wypowiedzenia się co do zebranych dowodów i materiałów.</w:t>
      </w:r>
    </w:p>
    <w:p w:rsidR="00772B36" w:rsidRDefault="00CF72A0" w:rsidP="00DE2DAA">
      <w:pPr>
        <w:pStyle w:val="Teksttreci0"/>
        <w:shd w:val="clear" w:color="auto" w:fill="auto"/>
        <w:spacing w:after="120"/>
        <w:ind w:firstLine="760"/>
        <w:jc w:val="both"/>
        <w:sectPr w:rsidR="00772B36">
          <w:headerReference w:type="even" r:id="rId10"/>
          <w:headerReference w:type="default" r:id="rId11"/>
          <w:pgSz w:w="11900" w:h="16840"/>
          <w:pgMar w:top="140" w:right="1064" w:bottom="125" w:left="1418" w:header="0" w:footer="3" w:gutter="0"/>
          <w:cols w:space="720"/>
          <w:noEndnote/>
          <w:docGrid w:linePitch="360"/>
        </w:sectPr>
      </w:pPr>
      <w:r>
        <w:t>Strona postępowania nie ustosunkowała się do wyżej wymienionego pisma.</w:t>
      </w:r>
    </w:p>
    <w:p w:rsidR="00772B36" w:rsidRDefault="00CF72A0">
      <w:pPr>
        <w:pStyle w:val="Teksttreci0"/>
        <w:shd w:val="clear" w:color="auto" w:fill="auto"/>
        <w:spacing w:before="80"/>
        <w:ind w:firstLine="740"/>
        <w:jc w:val="both"/>
      </w:pPr>
      <w:r>
        <w:lastRenderedPageBreak/>
        <w:t>Zgodnie z art. 91 pkt 25 i pkt 26 lit. c ustawy o zużytym sprzęcie administracyjnej karze pieniężnej podlega ten, kto w punkcie sprzedaży nie uwidacznia informacji, że przy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W art. 92 pkt 1 i pkt 3 ustawy o zużytym sprzęcie określono, że administracyjne kary pieniężne wynoszą za naruszenie art. 91 pkt 26 i pkt 25 ustawy o zużytym sprzęcie odpowiednio od 5000 zł do 500 000 zł oraz od 5000 zł do 300 000 zł.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Uprawnionym organem administracji publicznej do wymierzenia przedmiotowej administracyjnej kary pieniężnej jest właściwy’ miejscowo wojewódzki inspektor Inspekcji Handlowej (zob. art. 93 ust. 2 ustawy o zużytym sprzęcie).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W przypadku stwierdzenia w czasie jednego postępowania kilku naruszeń wyczerpujących znamiona naruszeń określonych w art. 91 ustawy o zużytym sprzęcie orzeka się jedną karę za wszystkie naruszenia, której wysokość nie może przekraczać najwyższej kary przewidzianej za dane naruszenia (zob. art. 93 ust. 5 ustawy o zużytym sprzęcie).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Przy ustalaniu wysokości administracyjnej kary pieniężnej uwzględnia się stopień szkodliwości naruszenia, rodzaj, zakres i okres trwania naruszenia oraz dotychczasową działalność podmiotu (zob. art. 93 ust. 3 ustawy o zużytym sprzęcie).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oceniając ww. przesłanki stwierdził, że:</w:t>
      </w:r>
    </w:p>
    <w:p w:rsidR="00772B36" w:rsidRDefault="00CF72A0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stopień naruszenia w przedmiotowej sprawie jest znaczny; w punkcie sprzedaży detalicznej nie uwidoczniono informacji, że przy zakupie sprzętu elektrycznego lub elektronicznego przyjmowany jest nieodpłatnie zużyty sprzęt tego samego rodzaju w ilości sztuka za sztukę oraz informacji o punktach zbierania zużytego sprzętu elektrycznego i elektronicznego,</w:t>
      </w:r>
    </w:p>
    <w:p w:rsidR="00772B36" w:rsidRDefault="00CF72A0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zostały wypełnione znamiona naruszeń określonych w art. 91 pkt 25 i pkt 26 lit. c ustawy o zużytym sprzęcie, w związku z powyższym orzeka się jedną karę za wszystkie naruszenia, której wysokość nie może przekraczać najwyższej kary przewidzianej za dane naruszenia, tj. 500 000 zł; najniższa możliwa kara to 5 000 zł,</w:t>
      </w:r>
    </w:p>
    <w:p w:rsidR="00772B36" w:rsidRDefault="00CF72A0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naruszenie przedmiotowych przepisów trwało od bliżej nieustalonej daty do czasu kontroli; w toku kontroli uwidoczniono wymagane informacje,</w:t>
      </w:r>
      <w:r>
        <w:br w:type="page"/>
      </w:r>
    </w:p>
    <w:p w:rsidR="00772B36" w:rsidRDefault="00CF72A0">
      <w:pPr>
        <w:pStyle w:val="Teksttreci0"/>
        <w:shd w:val="clear" w:color="auto" w:fill="auto"/>
        <w:ind w:left="720" w:hanging="320"/>
        <w:jc w:val="both"/>
      </w:pPr>
      <w:r>
        <w:lastRenderedPageBreak/>
        <w:t>• nie wnoszono uwag do dotychczasowej działalności strony postępowania w ww. zakresie; powyższy czynnik jest brany na korzyść strony postępowania przy ustalaniu wysokości kary pieniężnej.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Zgodnie z przyjętą przez ustawodawcę europejskiego oraz ustawodawcę krajowego zasadą kary powinny być proporcjonalne, skuteczne i odstraszające.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Należy również zaznaczyć, że strona postępowania została uprzednio zawiadomiona o zakresie przedmiotowym kontroli.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772B36" w:rsidRDefault="00CF72A0">
      <w:pPr>
        <w:pStyle w:val="Teksttreci0"/>
        <w:shd w:val="clear" w:color="auto" w:fill="auto"/>
        <w:ind w:firstLine="740"/>
        <w:jc w:val="both"/>
      </w:pPr>
      <w:r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772B36" w:rsidRDefault="00CF72A0">
      <w:pPr>
        <w:pStyle w:val="Teksttreci0"/>
        <w:shd w:val="clear" w:color="auto" w:fill="auto"/>
        <w:ind w:firstLine="720"/>
      </w:pPr>
      <w:r>
        <w:t>Uwzględniając wszystkie opisane wyżej przesłanki, rozstrzygnięto jak w sentencji.</w:t>
      </w:r>
    </w:p>
    <w:p w:rsidR="00ED125F" w:rsidRDefault="00ED125F">
      <w:pPr>
        <w:pStyle w:val="Teksttreci20"/>
        <w:shd w:val="clear" w:color="auto" w:fill="auto"/>
        <w:spacing w:line="360" w:lineRule="auto"/>
        <w:ind w:left="0" w:firstLine="0"/>
        <w:rPr>
          <w:b/>
          <w:bCs/>
        </w:rPr>
      </w:pPr>
    </w:p>
    <w:p w:rsidR="00772B36" w:rsidRDefault="00CF72A0">
      <w:pPr>
        <w:pStyle w:val="Teksttreci20"/>
        <w:shd w:val="clear" w:color="auto" w:fill="auto"/>
        <w:spacing w:line="360" w:lineRule="auto"/>
        <w:ind w:left="0" w:firstLine="0"/>
      </w:pPr>
      <w:r>
        <w:rPr>
          <w:b/>
          <w:bCs/>
        </w:rPr>
        <w:t>POUCZENIE:</w:t>
      </w:r>
    </w:p>
    <w:p w:rsidR="00772B36" w:rsidRDefault="00CF72A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ind w:hanging="360"/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</w:t>
      </w:r>
    </w:p>
    <w:p w:rsidR="00772B36" w:rsidRDefault="00CF72A0">
      <w:pPr>
        <w:pStyle w:val="Teksttreci20"/>
        <w:shd w:val="clear" w:color="auto" w:fill="auto"/>
        <w:spacing w:line="240" w:lineRule="auto"/>
        <w:ind w:left="0" w:firstLine="360"/>
      </w:pPr>
      <w:r>
        <w:t>k.p.a)</w:t>
      </w:r>
    </w:p>
    <w:p w:rsidR="00772B36" w:rsidRDefault="00CF72A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ind w:hanging="360"/>
        <w:jc w:val="both"/>
      </w:pPr>
      <w:r>
        <w:t>Uiszczenia kary pieniężnej należy dokonać w terminie 14 dni od dnia, w którym decyzja o wymierzeniu kary stała się ostateczna. Wpłaty należy dokonać na wskazane niżej konto bankowe (art. 93 ust. 6 ustawy o zużytym sprzęcie)</w:t>
      </w:r>
    </w:p>
    <w:p w:rsidR="00772B36" w:rsidRDefault="00CF72A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240"/>
        <w:ind w:hanging="360"/>
        <w:jc w:val="both"/>
      </w:pPr>
      <w:r>
        <w:t>Zgodnie z art. 94 ustawy o zużytym sprzęcie w zakresie nieuregulowanym w ustawie, do kar pieniężnych stosuje się odpowiednio przepisy działu III ustawy z dnia 29 sierpnia 1997 r. - Ordynacja podatkowa (tekst jednolity Dz. U. z 2018 r., poz. 800 ze zm.)</w:t>
      </w:r>
    </w:p>
    <w:p w:rsidR="00772B36" w:rsidRDefault="00CF72A0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772B36" w:rsidRDefault="00CF72A0">
      <w:pPr>
        <w:pStyle w:val="Teksttreci20"/>
        <w:shd w:val="clear" w:color="auto" w:fill="auto"/>
        <w:ind w:left="0" w:firstLine="720"/>
        <w:jc w:val="both"/>
      </w:pPr>
      <w:r>
        <w:t>ul. Erwina Kruka 10, 10-540 Olsztyn</w:t>
      </w:r>
    </w:p>
    <w:p w:rsidR="00772B36" w:rsidRDefault="00CF72A0">
      <w:pPr>
        <w:pStyle w:val="Teksttreci20"/>
        <w:shd w:val="clear" w:color="auto" w:fill="auto"/>
        <w:ind w:left="0" w:firstLine="720"/>
        <w:jc w:val="both"/>
      </w:pPr>
      <w:r>
        <w:t>Narodowy Bank Polski Oddział Okręgowy w Olsztynie</w:t>
      </w:r>
    </w:p>
    <w:p w:rsidR="00772B36" w:rsidRDefault="00CF72A0" w:rsidP="00ED125F">
      <w:pPr>
        <w:pStyle w:val="Teksttreci20"/>
        <w:shd w:val="clear" w:color="auto" w:fill="auto"/>
        <w:spacing w:line="240" w:lineRule="auto"/>
        <w:ind w:left="0" w:firstLine="720"/>
      </w:pPr>
      <w:r>
        <w:t>Nr rachunku: 90 1010 1397 0032 0322 3100 0000</w:t>
      </w:r>
    </w:p>
    <w:p w:rsidR="00ED125F" w:rsidRDefault="00ED125F">
      <w:pPr>
        <w:pStyle w:val="Teksttreci20"/>
        <w:shd w:val="clear" w:color="auto" w:fill="auto"/>
        <w:spacing w:after="60" w:line="240" w:lineRule="auto"/>
        <w:ind w:left="0" w:firstLine="0"/>
        <w:rPr>
          <w:u w:val="single"/>
        </w:rPr>
      </w:pPr>
    </w:p>
    <w:p w:rsidR="00ED125F" w:rsidRDefault="00ED125F">
      <w:pPr>
        <w:pStyle w:val="Teksttreci20"/>
        <w:shd w:val="clear" w:color="auto" w:fill="auto"/>
        <w:spacing w:after="60" w:line="240" w:lineRule="auto"/>
        <w:ind w:left="0" w:firstLine="0"/>
        <w:rPr>
          <w:u w:val="single"/>
        </w:rPr>
      </w:pPr>
    </w:p>
    <w:p w:rsidR="00772B36" w:rsidRDefault="00CF72A0">
      <w:pPr>
        <w:pStyle w:val="Teksttreci20"/>
        <w:shd w:val="clear" w:color="auto" w:fill="auto"/>
        <w:spacing w:after="60" w:line="240" w:lineRule="auto"/>
        <w:ind w:left="0" w:firstLine="0"/>
      </w:pPr>
      <w:r>
        <w:rPr>
          <w:u w:val="single"/>
        </w:rPr>
        <w:t>Otrzymują:</w:t>
      </w:r>
    </w:p>
    <w:p w:rsidR="00772B36" w:rsidRPr="00DE2DAA" w:rsidRDefault="00DE2DAA" w:rsidP="00DE2DAA">
      <w:pPr>
        <w:pStyle w:val="Teksttreci30"/>
        <w:shd w:val="clear" w:color="auto" w:fill="auto"/>
        <w:spacing w:after="140"/>
        <w:ind w:firstLine="284"/>
        <w:rPr>
          <w:i/>
          <w:color w:val="auto"/>
          <w:sz w:val="20"/>
          <w:szCs w:val="20"/>
        </w:rPr>
      </w:pPr>
      <w:r w:rsidRPr="00DE2DAA">
        <w:rPr>
          <w:b w:val="0"/>
          <w:color w:val="auto"/>
          <w:sz w:val="20"/>
          <w:szCs w:val="20"/>
        </w:rPr>
        <w:t xml:space="preserve">1. </w:t>
      </w:r>
      <w:r w:rsidRPr="00DE2DAA">
        <w:rPr>
          <w:i/>
          <w:color w:val="auto"/>
          <w:sz w:val="20"/>
          <w:szCs w:val="20"/>
        </w:rPr>
        <w:t>(Dane zanonimizowane)</w:t>
      </w:r>
    </w:p>
    <w:p w:rsidR="00DE2DAA" w:rsidRPr="00DE2DAA" w:rsidRDefault="00CF72A0" w:rsidP="00DE2DAA">
      <w:pPr>
        <w:pStyle w:val="Teksttreci20"/>
        <w:shd w:val="clear" w:color="auto" w:fill="auto"/>
        <w:spacing w:after="100" w:line="240" w:lineRule="auto"/>
        <w:ind w:left="0" w:firstLine="284"/>
        <w:rPr>
          <w:color w:val="auto"/>
        </w:rPr>
      </w:pPr>
      <w:r w:rsidRPr="00DE2DAA">
        <w:rPr>
          <w:color w:val="auto"/>
        </w:rPr>
        <w:t>2. Wydział Budżetowo-A</w:t>
      </w:r>
      <w:r w:rsidR="00DE2DAA" w:rsidRPr="00DE2DAA">
        <w:rPr>
          <w:color w:val="auto"/>
        </w:rPr>
        <w:t>dministracyjny WIIH w Olsztynie</w:t>
      </w:r>
    </w:p>
    <w:p w:rsidR="00772B36" w:rsidRPr="00DE2DAA" w:rsidRDefault="00CF72A0" w:rsidP="00DE2DAA">
      <w:pPr>
        <w:pStyle w:val="Teksttreci20"/>
        <w:shd w:val="clear" w:color="auto" w:fill="auto"/>
        <w:spacing w:after="100" w:line="240" w:lineRule="auto"/>
        <w:ind w:left="0" w:firstLine="284"/>
        <w:rPr>
          <w:color w:val="auto"/>
        </w:rPr>
      </w:pPr>
      <w:r w:rsidRPr="00DE2DAA">
        <w:rPr>
          <w:color w:val="auto"/>
        </w:rPr>
        <w:t>3</w:t>
      </w:r>
      <w:r w:rsidR="00DE2DAA" w:rsidRPr="00DE2DAA">
        <w:rPr>
          <w:color w:val="auto"/>
        </w:rPr>
        <w:t xml:space="preserve">. </w:t>
      </w:r>
      <w:r w:rsidRPr="00DE2DAA">
        <w:rPr>
          <w:color w:val="auto"/>
        </w:rPr>
        <w:t>Ad acta.</w:t>
      </w:r>
    </w:p>
    <w:sectPr w:rsidR="00772B36" w:rsidRPr="00DE2DAA" w:rsidSect="00772B36">
      <w:headerReference w:type="even" r:id="rId12"/>
      <w:headerReference w:type="default" r:id="rId13"/>
      <w:pgSz w:w="11900" w:h="16840"/>
      <w:pgMar w:top="1350" w:right="1397" w:bottom="1774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DE" w:rsidRDefault="00003FDE" w:rsidP="00772B36">
      <w:r>
        <w:separator/>
      </w:r>
    </w:p>
  </w:endnote>
  <w:endnote w:type="continuationSeparator" w:id="0">
    <w:p w:rsidR="00003FDE" w:rsidRDefault="00003FDE" w:rsidP="0077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DE" w:rsidRDefault="00003FDE"/>
  </w:footnote>
  <w:footnote w:type="continuationSeparator" w:id="0">
    <w:p w:rsidR="00003FDE" w:rsidRDefault="00003F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4.3pt;margin-top:29pt;width:4.3pt;height:6.8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EA6E1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.3pt;margin-top:29pt;width:4.3pt;height:6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CF72A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772B36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7.35pt;margin-top:35.25pt;width:3.95pt;height:7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CF72A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7.35pt;margin-top:35.25pt;width:3.95pt;height: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EA6E11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94.3pt;margin-top:29pt;width:4.3pt;height:6.85pt;z-index:-18874404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EA6E11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851F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92.4pt;margin-top:35.65pt;width:4.15pt;height:7pt;z-index:-188744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2B36" w:rsidRDefault="00851F55">
                <w:pPr>
                  <w:pStyle w:val="Nagweklubstopka20"/>
                  <w:shd w:val="clear" w:color="auto" w:fill="auto"/>
                </w:pPr>
                <w:fldSimple w:instr=" PAGE \* MERGEFORMAT ">
                  <w:r w:rsidR="00EA6E1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83A"/>
    <w:multiLevelType w:val="multilevel"/>
    <w:tmpl w:val="8B3286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A766F"/>
    <w:multiLevelType w:val="multilevel"/>
    <w:tmpl w:val="ADB22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2B36"/>
    <w:rsid w:val="00003FDE"/>
    <w:rsid w:val="00710727"/>
    <w:rsid w:val="00772B36"/>
    <w:rsid w:val="007A4915"/>
    <w:rsid w:val="00851F55"/>
    <w:rsid w:val="009E3F81"/>
    <w:rsid w:val="00CF72A0"/>
    <w:rsid w:val="00DE2DAA"/>
    <w:rsid w:val="00EA6E11"/>
    <w:rsid w:val="00ED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2B3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72B3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72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772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72B36"/>
    <w:rPr>
      <w:rFonts w:ascii="Arial" w:eastAsia="Arial" w:hAnsi="Arial" w:cs="Arial"/>
      <w:b w:val="0"/>
      <w:bCs w:val="0"/>
      <w:i w:val="0"/>
      <w:iCs w:val="0"/>
      <w:smallCaps w:val="0"/>
      <w:strike w:val="0"/>
      <w:color w:val="3F5987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sid w:val="00772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772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772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772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772B3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72B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72B3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772B36"/>
    <w:pPr>
      <w:shd w:val="clear" w:color="auto" w:fill="FFFFFF"/>
      <w:spacing w:after="380"/>
      <w:ind w:left="3560"/>
      <w:outlineLvl w:val="0"/>
    </w:pPr>
    <w:rPr>
      <w:rFonts w:ascii="Arial" w:eastAsia="Arial" w:hAnsi="Arial" w:cs="Arial"/>
      <w:color w:val="3F5987"/>
      <w:sz w:val="30"/>
      <w:szCs w:val="30"/>
    </w:rPr>
  </w:style>
  <w:style w:type="paragraph" w:customStyle="1" w:styleId="Nagwek20">
    <w:name w:val="Nagłówek #2"/>
    <w:basedOn w:val="Normalny"/>
    <w:link w:val="Nagwek2"/>
    <w:rsid w:val="00772B36"/>
    <w:pPr>
      <w:shd w:val="clear" w:color="auto" w:fill="FFFFFF"/>
      <w:spacing w:after="47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772B36"/>
    <w:pPr>
      <w:shd w:val="clear" w:color="auto" w:fill="FFFFFF"/>
      <w:spacing w:after="350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772B36"/>
    <w:pPr>
      <w:shd w:val="clear" w:color="auto" w:fill="FFFFFF"/>
    </w:pPr>
    <w:rPr>
      <w:rFonts w:ascii="Times New Roman" w:eastAsia="Times New Roman" w:hAnsi="Times New Roman" w:cs="Times New Roman"/>
      <w:w w:val="80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772B36"/>
    <w:pPr>
      <w:shd w:val="clear" w:color="auto" w:fill="FFFFFF"/>
      <w:spacing w:line="276" w:lineRule="auto"/>
      <w:ind w:left="360" w:hanging="180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A4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91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6</cp:revision>
  <dcterms:created xsi:type="dcterms:W3CDTF">2019-12-02T21:25:00Z</dcterms:created>
  <dcterms:modified xsi:type="dcterms:W3CDTF">2019-12-02T21:43:00Z</dcterms:modified>
</cp:coreProperties>
</file>