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73" w:rsidRDefault="00E75473">
      <w:pPr>
        <w:spacing w:after="599" w:line="1" w:lineRule="exact"/>
      </w:pPr>
    </w:p>
    <w:p w:rsidR="00E75473" w:rsidRDefault="00E75473">
      <w:pPr>
        <w:spacing w:line="1" w:lineRule="exact"/>
        <w:sectPr w:rsidR="00E75473" w:rsidSect="00F173DD">
          <w:footerReference w:type="default" r:id="rId7"/>
          <w:footerReference w:type="first" r:id="rId8"/>
          <w:pgSz w:w="11900" w:h="16840"/>
          <w:pgMar w:top="1417" w:right="1417" w:bottom="1417" w:left="1417" w:header="0" w:footer="3" w:gutter="0"/>
          <w:pgNumType w:start="1"/>
          <w:cols w:space="720"/>
          <w:noEndnote/>
          <w:titlePg/>
          <w:docGrid w:linePitch="360"/>
        </w:sectPr>
      </w:pPr>
    </w:p>
    <w:p w:rsidR="00F173DD" w:rsidRDefault="00F173DD" w:rsidP="00F173DD">
      <w:pPr>
        <w:pStyle w:val="Teksttreci0"/>
        <w:shd w:val="clear" w:color="auto" w:fill="auto"/>
        <w:spacing w:line="240" w:lineRule="auto"/>
        <w:ind w:left="6521" w:firstLine="0"/>
      </w:pPr>
      <w:r>
        <w:lastRenderedPageBreak/>
        <w:t>Ełk, dnia 06 maja 2019 r.</w:t>
      </w:r>
    </w:p>
    <w:p w:rsidR="00F173DD" w:rsidRDefault="00F173DD" w:rsidP="00F173DD">
      <w:pPr>
        <w:pStyle w:val="Teksttreci0"/>
        <w:shd w:val="clear" w:color="auto" w:fill="auto"/>
        <w:spacing w:line="240" w:lineRule="auto"/>
        <w:ind w:firstLine="0"/>
      </w:pPr>
    </w:p>
    <w:p w:rsidR="00F173DD" w:rsidRDefault="00F173DD" w:rsidP="00F173DD">
      <w:pPr>
        <w:pStyle w:val="Teksttreci0"/>
        <w:shd w:val="clear" w:color="auto" w:fill="auto"/>
        <w:spacing w:line="240" w:lineRule="auto"/>
        <w:ind w:firstLine="0"/>
      </w:pPr>
      <w:r>
        <w:t>WARMIŃSKO-MAZURSKI</w:t>
      </w:r>
    </w:p>
    <w:p w:rsidR="00F173DD" w:rsidRDefault="00F173DD" w:rsidP="00F173DD">
      <w:pPr>
        <w:pStyle w:val="Teksttreci0"/>
        <w:shd w:val="clear" w:color="auto" w:fill="auto"/>
        <w:spacing w:line="240" w:lineRule="auto"/>
        <w:ind w:firstLine="0"/>
      </w:pPr>
      <w:r>
        <w:t>WOJEWÓDZKI INSPEKTOR</w:t>
      </w:r>
    </w:p>
    <w:p w:rsidR="00F173DD" w:rsidRDefault="00F173DD" w:rsidP="00F173DD">
      <w:pPr>
        <w:pStyle w:val="Teksttreci0"/>
        <w:shd w:val="clear" w:color="auto" w:fill="auto"/>
        <w:spacing w:line="240" w:lineRule="auto"/>
        <w:ind w:firstLine="0"/>
      </w:pPr>
      <w:r>
        <w:t>INSPEKCJI HANDLOWEJ</w:t>
      </w:r>
    </w:p>
    <w:p w:rsidR="00F173DD" w:rsidRDefault="00DE2209" w:rsidP="00F173DD">
      <w:pPr>
        <w:pStyle w:val="Teksttreci0"/>
        <w:shd w:val="clear" w:color="auto" w:fill="auto"/>
        <w:spacing w:line="240" w:lineRule="auto"/>
        <w:ind w:firstLine="0"/>
      </w:pPr>
      <w:r>
        <w:t xml:space="preserve">ul. </w:t>
      </w:r>
      <w:r w:rsidR="00F173DD">
        <w:t>Dąbrowszczaków 10</w:t>
      </w:r>
    </w:p>
    <w:p w:rsidR="00E75473" w:rsidRDefault="00DE2209" w:rsidP="00F173DD">
      <w:pPr>
        <w:pStyle w:val="Teksttreci0"/>
        <w:shd w:val="clear" w:color="auto" w:fill="auto"/>
        <w:spacing w:line="240" w:lineRule="auto"/>
        <w:ind w:firstLine="0"/>
      </w:pPr>
      <w:r>
        <w:t>10-540 Olsztyn</w:t>
      </w:r>
    </w:p>
    <w:p w:rsidR="00F173DD" w:rsidRDefault="00F173DD" w:rsidP="00F173DD">
      <w:pPr>
        <w:pStyle w:val="Teksttreci0"/>
        <w:shd w:val="clear" w:color="auto" w:fill="auto"/>
        <w:spacing w:line="240" w:lineRule="auto"/>
        <w:ind w:firstLine="0"/>
      </w:pPr>
    </w:p>
    <w:p w:rsidR="00F173DD" w:rsidRDefault="00F173DD" w:rsidP="00F173DD">
      <w:pPr>
        <w:pStyle w:val="Teksttreci0"/>
        <w:shd w:val="clear" w:color="auto" w:fill="auto"/>
        <w:spacing w:line="240" w:lineRule="auto"/>
        <w:ind w:firstLine="0"/>
      </w:pPr>
    </w:p>
    <w:p w:rsidR="00E75473" w:rsidRDefault="00DE2209">
      <w:pPr>
        <w:pStyle w:val="Teksttreci0"/>
        <w:shd w:val="clear" w:color="auto" w:fill="auto"/>
        <w:spacing w:line="240" w:lineRule="auto"/>
        <w:ind w:firstLine="0"/>
        <w:sectPr w:rsidR="00E75473" w:rsidSect="00F173DD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t>DEk.8361.10.2019.ECh</w:t>
      </w:r>
    </w:p>
    <w:p w:rsidR="00E75473" w:rsidRDefault="00E75473">
      <w:pPr>
        <w:spacing w:before="49" w:after="49" w:line="240" w:lineRule="exact"/>
        <w:rPr>
          <w:sz w:val="19"/>
          <w:szCs w:val="19"/>
        </w:rPr>
      </w:pPr>
    </w:p>
    <w:p w:rsidR="00E75473" w:rsidRDefault="00E75473">
      <w:pPr>
        <w:spacing w:line="1" w:lineRule="exact"/>
        <w:sectPr w:rsidR="00E75473">
          <w:type w:val="continuous"/>
          <w:pgSz w:w="11900" w:h="16840"/>
          <w:pgMar w:top="374" w:right="0" w:bottom="864" w:left="0" w:header="0" w:footer="3" w:gutter="0"/>
          <w:cols w:space="720"/>
          <w:noEndnote/>
          <w:docGrid w:linePitch="360"/>
        </w:sectPr>
      </w:pPr>
    </w:p>
    <w:p w:rsidR="00E75473" w:rsidRDefault="00E75473">
      <w:pPr>
        <w:spacing w:line="360" w:lineRule="exact"/>
      </w:pPr>
    </w:p>
    <w:p w:rsidR="00E75473" w:rsidRPr="00F173DD" w:rsidRDefault="00F173DD" w:rsidP="00F173DD">
      <w:pPr>
        <w:spacing w:line="360" w:lineRule="exact"/>
        <w:ind w:left="6804"/>
        <w:rPr>
          <w:rFonts w:ascii="Times New Roman" w:hAnsi="Times New Roman" w:cs="Times New Roman"/>
          <w:b/>
          <w:i/>
        </w:rPr>
      </w:pPr>
      <w:r w:rsidRPr="00F173DD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F173DD">
        <w:rPr>
          <w:rFonts w:ascii="Times New Roman" w:hAnsi="Times New Roman" w:cs="Times New Roman"/>
          <w:b/>
          <w:i/>
        </w:rPr>
        <w:t>zanonimizowane</w:t>
      </w:r>
      <w:proofErr w:type="spellEnd"/>
      <w:r w:rsidRPr="00F173DD">
        <w:rPr>
          <w:rFonts w:ascii="Times New Roman" w:hAnsi="Times New Roman" w:cs="Times New Roman"/>
          <w:b/>
          <w:i/>
        </w:rPr>
        <w:t>)</w:t>
      </w:r>
    </w:p>
    <w:p w:rsidR="00E75473" w:rsidRDefault="00E75473">
      <w:pPr>
        <w:spacing w:line="360" w:lineRule="exact"/>
      </w:pPr>
    </w:p>
    <w:p w:rsidR="00E75473" w:rsidRDefault="00E75473">
      <w:pPr>
        <w:spacing w:after="527" w:line="1" w:lineRule="exact"/>
      </w:pPr>
    </w:p>
    <w:p w:rsidR="00E75473" w:rsidRDefault="00E75473">
      <w:pPr>
        <w:spacing w:line="1" w:lineRule="exact"/>
        <w:sectPr w:rsidR="00E75473">
          <w:type w:val="continuous"/>
          <w:pgSz w:w="11900" w:h="16840"/>
          <w:pgMar w:top="374" w:right="197" w:bottom="864" w:left="1200" w:header="0" w:footer="3" w:gutter="0"/>
          <w:cols w:space="720"/>
          <w:noEndnote/>
          <w:docGrid w:linePitch="360"/>
        </w:sectPr>
      </w:pPr>
    </w:p>
    <w:p w:rsidR="00E75473" w:rsidRDefault="00E75473">
      <w:pPr>
        <w:spacing w:before="63" w:after="63" w:line="240" w:lineRule="exact"/>
        <w:rPr>
          <w:sz w:val="19"/>
          <w:szCs w:val="19"/>
        </w:rPr>
      </w:pPr>
    </w:p>
    <w:p w:rsidR="00E75473" w:rsidRDefault="00E75473">
      <w:pPr>
        <w:spacing w:line="1" w:lineRule="exact"/>
        <w:sectPr w:rsidR="00E75473">
          <w:type w:val="continuous"/>
          <w:pgSz w:w="11900" w:h="16840"/>
          <w:pgMar w:top="1181" w:right="0" w:bottom="1323" w:left="0" w:header="0" w:footer="3" w:gutter="0"/>
          <w:cols w:space="720"/>
          <w:noEndnote/>
          <w:docGrid w:linePitch="360"/>
        </w:sectPr>
      </w:pPr>
    </w:p>
    <w:p w:rsidR="00E75473" w:rsidRDefault="00DE2209">
      <w:pPr>
        <w:pStyle w:val="Nagwek20"/>
        <w:keepNext/>
        <w:keepLines/>
        <w:shd w:val="clear" w:color="auto" w:fill="auto"/>
      </w:pPr>
      <w:bookmarkStart w:id="0" w:name="bookmark0"/>
      <w:bookmarkStart w:id="1" w:name="bookmark1"/>
      <w:r>
        <w:lastRenderedPageBreak/>
        <w:t>DECYZJA</w:t>
      </w:r>
      <w:bookmarkEnd w:id="0"/>
      <w:bookmarkEnd w:id="1"/>
    </w:p>
    <w:p w:rsidR="00E75473" w:rsidRDefault="00DE2209">
      <w:pPr>
        <w:pStyle w:val="Teksttreci0"/>
        <w:shd w:val="clear" w:color="auto" w:fill="auto"/>
        <w:spacing w:after="420"/>
        <w:ind w:firstLine="0"/>
        <w:jc w:val="both"/>
      </w:pPr>
      <w:r>
        <w:t xml:space="preserve">Działając w oparciu o art. 40a ust. 4 i art. 40a ust. 1 </w:t>
      </w:r>
      <w:proofErr w:type="spellStart"/>
      <w:r>
        <w:t>pkt</w:t>
      </w:r>
      <w:proofErr w:type="spellEnd"/>
      <w:r>
        <w:t xml:space="preserve"> 3 ustawy z dnia 21 grudnia </w:t>
      </w:r>
      <w:r>
        <w:t>2000 r. o jakości handlowej artykułów rolno-spożywczych (Dz. U. z 2018r., poz. 2164 ze zm.), dalej „ustawa o jakości handlowej” oraz art. 104 § 1 ustawy z dnia 14 czerwca 1960 r. Kodeks postępowania administracyjnego (Dz. U. z 2018 r., poz. 2096 ze zm.), d</w:t>
      </w:r>
      <w:r>
        <w:t>alej „kpa” po przeprowadzeniu postępowania administracyjnego</w:t>
      </w:r>
    </w:p>
    <w:p w:rsidR="00E75473" w:rsidRDefault="00F173DD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</w:t>
      </w:r>
      <w:r w:rsidR="00DE2209">
        <w:rPr>
          <w:b/>
          <w:bCs/>
          <w:sz w:val="22"/>
          <w:szCs w:val="22"/>
        </w:rPr>
        <w:t>ymierzam</w:t>
      </w:r>
    </w:p>
    <w:p w:rsidR="00F173DD" w:rsidRDefault="00F173DD">
      <w:pPr>
        <w:pStyle w:val="Teksttreci0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E75473" w:rsidRDefault="00E75473">
      <w:pPr>
        <w:spacing w:line="1" w:lineRule="exact"/>
      </w:pPr>
    </w:p>
    <w:p w:rsidR="00E75473" w:rsidRDefault="00F173DD" w:rsidP="00F173DD">
      <w:pPr>
        <w:pStyle w:val="Podpisobrazu0"/>
        <w:shd w:val="clear" w:color="auto" w:fill="auto"/>
        <w:spacing w:line="360" w:lineRule="auto"/>
      </w:pPr>
      <w:r w:rsidRPr="00F173DD">
        <w:t>(</w:t>
      </w:r>
      <w:r w:rsidRPr="00F173DD">
        <w:rPr>
          <w:b/>
          <w:i/>
        </w:rPr>
        <w:t xml:space="preserve">Dane </w:t>
      </w:r>
      <w:proofErr w:type="spellStart"/>
      <w:r w:rsidRPr="00F173DD">
        <w:rPr>
          <w:b/>
          <w:i/>
        </w:rPr>
        <w:t>zanonimizowane</w:t>
      </w:r>
      <w:proofErr w:type="spellEnd"/>
      <w:r w:rsidRPr="00F173DD">
        <w:rPr>
          <w:b/>
          <w:i/>
        </w:rPr>
        <w:t>)</w:t>
      </w:r>
      <w:r>
        <w:t xml:space="preserve"> łączną karę pieniężną w wysokości </w:t>
      </w:r>
      <w:r>
        <w:rPr>
          <w:b/>
          <w:bCs/>
          <w:sz w:val="22"/>
          <w:szCs w:val="22"/>
        </w:rPr>
        <w:t xml:space="preserve">500,00 zł (pięćset złotych) </w:t>
      </w:r>
      <w:r w:rsidR="00DE2209">
        <w:t>z tytułu wprowadzenia do obrotu 17 partii potraw nieodpowiadających jakości handlowej, z uwagi na brak w cenniku lub w inny dostępny dla konsumentów sposób informacji o składnikach alergennych obecnych w gotowych potrawach, w tym 4 partii również bez wykaz</w:t>
      </w:r>
      <w:r w:rsidR="00DE2209">
        <w:t>u składników.</w:t>
      </w:r>
    </w:p>
    <w:p w:rsidR="00F173DD" w:rsidRDefault="00F173DD">
      <w:pPr>
        <w:pStyle w:val="Teksttreci0"/>
        <w:shd w:val="clear" w:color="auto" w:fill="auto"/>
        <w:spacing w:line="391" w:lineRule="auto"/>
        <w:ind w:firstLine="0"/>
        <w:jc w:val="center"/>
        <w:rPr>
          <w:b/>
          <w:bCs/>
          <w:sz w:val="22"/>
          <w:szCs w:val="22"/>
        </w:rPr>
      </w:pPr>
    </w:p>
    <w:p w:rsidR="00F173DD" w:rsidRDefault="00F173DD">
      <w:pPr>
        <w:pStyle w:val="Teksttreci0"/>
        <w:shd w:val="clear" w:color="auto" w:fill="auto"/>
        <w:spacing w:line="391" w:lineRule="auto"/>
        <w:ind w:firstLine="0"/>
        <w:jc w:val="center"/>
        <w:rPr>
          <w:b/>
          <w:bCs/>
          <w:sz w:val="22"/>
          <w:szCs w:val="22"/>
        </w:rPr>
      </w:pPr>
    </w:p>
    <w:p w:rsidR="00E75473" w:rsidRDefault="00DE2209">
      <w:pPr>
        <w:pStyle w:val="Teksttreci0"/>
        <w:shd w:val="clear" w:color="auto" w:fill="auto"/>
        <w:spacing w:line="391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UZASADNIENIE</w:t>
      </w:r>
    </w:p>
    <w:p w:rsidR="00E75473" w:rsidRDefault="00DE2209" w:rsidP="00F173DD">
      <w:pPr>
        <w:pStyle w:val="Teksttreci0"/>
        <w:shd w:val="clear" w:color="auto" w:fill="auto"/>
        <w:spacing w:after="280"/>
        <w:ind w:firstLine="0"/>
        <w:jc w:val="both"/>
      </w:pPr>
      <w:r>
        <w:t>W dniu 21 stycznia 2019 r. na podstawie upoważnienia Warmińsko-Mazurskiego Wojewódzkiego Inspektora Inspekcji Handlowej Nr DEk8361.10.2019 z dnia 21.01.2019r. inspektorzy Delegatury w Ełku reprezentujący Warmińsko-Mazurskiego Woj</w:t>
      </w:r>
      <w:r>
        <w:t>ewódzkiego</w:t>
      </w:r>
      <w:r w:rsidR="00F173DD">
        <w:t xml:space="preserve"> </w:t>
      </w:r>
      <w:r>
        <w:t>Inspektora Inspekcji Handlowej przeprowadzili kontrolę punktu gastronomicznego</w:t>
      </w:r>
      <w:r w:rsidR="00F173DD">
        <w:t xml:space="preserve"> </w:t>
      </w:r>
      <w:r w:rsidR="00F173DD" w:rsidRPr="00F173DD">
        <w:rPr>
          <w:b/>
          <w:i/>
        </w:rPr>
        <w:t xml:space="preserve">(Dane </w:t>
      </w:r>
      <w:proofErr w:type="spellStart"/>
      <w:r w:rsidR="00F173DD" w:rsidRPr="00F173DD">
        <w:rPr>
          <w:b/>
          <w:i/>
        </w:rPr>
        <w:t>zanonimizowane</w:t>
      </w:r>
      <w:proofErr w:type="spellEnd"/>
      <w:r w:rsidR="00F173DD" w:rsidRPr="00F173DD">
        <w:rPr>
          <w:b/>
          <w:i/>
        </w:rPr>
        <w:t>).</w:t>
      </w:r>
    </w:p>
    <w:p w:rsidR="00E75473" w:rsidRDefault="00E75473">
      <w:pPr>
        <w:jc w:val="center"/>
        <w:rPr>
          <w:sz w:val="2"/>
          <w:szCs w:val="2"/>
        </w:rPr>
      </w:pPr>
    </w:p>
    <w:p w:rsidR="00E75473" w:rsidRDefault="00DE2209">
      <w:pPr>
        <w:pStyle w:val="Podpisobrazu0"/>
        <w:shd w:val="clear" w:color="auto" w:fill="auto"/>
        <w:ind w:left="509"/>
      </w:pPr>
      <w:r>
        <w:t>Kontrolę przeprowadzono na podstawie art. 3 ust. 1-3 Rozporządzenia Parlamentu</w:t>
      </w:r>
    </w:p>
    <w:p w:rsidR="00E75473" w:rsidRDefault="00E75473">
      <w:pPr>
        <w:spacing w:after="99" w:line="1" w:lineRule="exact"/>
      </w:pPr>
    </w:p>
    <w:p w:rsidR="00E75473" w:rsidRDefault="00DE2209">
      <w:pPr>
        <w:pStyle w:val="Teksttreci0"/>
        <w:shd w:val="clear" w:color="auto" w:fill="auto"/>
        <w:ind w:firstLine="0"/>
        <w:jc w:val="both"/>
      </w:pPr>
      <w:r>
        <w:t xml:space="preserve">Europejskiego i Rady (WE) Nr 882/2004 z dnia 29 kwietnia 2004 r. w sprawie kontroli </w:t>
      </w:r>
      <w:r>
        <w:t xml:space="preserve">urzędowych przeprowadzanych w celu sprawdzenia zgodności z prawem paszowym i żywnościowym oraz regułami dotyczącymi zdrowia zwierząt i dobrostanu zwierząt (Dz. Urz. UE L. 165 z 30.04.2004, str. 1; sprostowanie: Dz. U. L 191 z 28.5.2004, s. 1 z </w:t>
      </w:r>
      <w:proofErr w:type="spellStart"/>
      <w:r>
        <w:t>późn</w:t>
      </w:r>
      <w:proofErr w:type="spellEnd"/>
      <w:r>
        <w:t xml:space="preserve">. zm.), </w:t>
      </w:r>
      <w:r>
        <w:t xml:space="preserve">art. 17 ust. 3 ustawy z dnia 21 grudnia 2000 r. o jakości handlowej artykułów rolno- spożywczych (tekst jednolity Dz. U. z 2018 r., poz. 2164 ze zm.), w związku z art. 3 ust. 1 </w:t>
      </w:r>
      <w:proofErr w:type="spellStart"/>
      <w:r>
        <w:t>pkt</w:t>
      </w:r>
      <w:proofErr w:type="spellEnd"/>
      <w:r>
        <w:t xml:space="preserve"> 1, 2 i 6 ustawy z dnia 15 grudnia 2000 r. o Inspekcji Handlowej (tekst jedn</w:t>
      </w:r>
      <w:r>
        <w:t>olity Dz. U. z 2018 r., poz. 1930 ze zm.).</w:t>
      </w:r>
    </w:p>
    <w:p w:rsidR="00E75473" w:rsidRDefault="00DE2209">
      <w:pPr>
        <w:pStyle w:val="Teksttreci0"/>
        <w:shd w:val="clear" w:color="auto" w:fill="auto"/>
        <w:ind w:firstLine="0"/>
        <w:jc w:val="both"/>
      </w:pPr>
      <w:r>
        <w:t>W toku kontroli sprawdzono prawidłowość oznakowania 17 wyrobów gastronomicznych. Stwierdzono, że przy 17 partiach potraw brak jest informacji o substancjach lub produktach powodujących alergie lub reakcję nietoler</w:t>
      </w:r>
      <w:r>
        <w:t>ancji, w tym przy 4 partiach potraw nie wykazano również składników.</w:t>
      </w:r>
    </w:p>
    <w:p w:rsidR="00E75473" w:rsidRDefault="00DE2209">
      <w:pPr>
        <w:pStyle w:val="Teksttreci0"/>
        <w:shd w:val="clear" w:color="auto" w:fill="auto"/>
        <w:ind w:firstLine="0"/>
        <w:jc w:val="both"/>
      </w:pPr>
      <w:r>
        <w:t>Brak składników alergennych stwierdzono przy 17 niżej wymienionych potrawach:</w:t>
      </w:r>
    </w:p>
    <w:p w:rsidR="00E75473" w:rsidRDefault="00DE2209">
      <w:pPr>
        <w:pStyle w:val="Teksttreci0"/>
        <w:numPr>
          <w:ilvl w:val="0"/>
          <w:numId w:val="1"/>
        </w:numPr>
        <w:shd w:val="clear" w:color="auto" w:fill="auto"/>
        <w:tabs>
          <w:tab w:val="left" w:pos="714"/>
        </w:tabs>
        <w:ind w:firstLine="380"/>
        <w:jc w:val="both"/>
      </w:pPr>
      <w:r>
        <w:t>Kebab duży w bułce,</w:t>
      </w:r>
    </w:p>
    <w:p w:rsidR="00E75473" w:rsidRDefault="00DE2209">
      <w:pPr>
        <w:pStyle w:val="Teksttreci0"/>
        <w:numPr>
          <w:ilvl w:val="0"/>
          <w:numId w:val="1"/>
        </w:numPr>
        <w:shd w:val="clear" w:color="auto" w:fill="auto"/>
        <w:tabs>
          <w:tab w:val="left" w:pos="738"/>
        </w:tabs>
        <w:ind w:firstLine="380"/>
        <w:jc w:val="both"/>
      </w:pPr>
      <w:r>
        <w:t>Kebab w bułce,</w:t>
      </w:r>
    </w:p>
    <w:p w:rsidR="00E75473" w:rsidRDefault="00DE2209">
      <w:pPr>
        <w:pStyle w:val="Teksttreci0"/>
        <w:numPr>
          <w:ilvl w:val="0"/>
          <w:numId w:val="1"/>
        </w:numPr>
        <w:shd w:val="clear" w:color="auto" w:fill="auto"/>
        <w:tabs>
          <w:tab w:val="left" w:pos="738"/>
        </w:tabs>
        <w:ind w:firstLine="380"/>
        <w:jc w:val="both"/>
      </w:pPr>
      <w:r>
        <w:t>Kebab talerz,</w:t>
      </w:r>
    </w:p>
    <w:p w:rsidR="00E75473" w:rsidRDefault="00DE2209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  <w:jc w:val="both"/>
      </w:pPr>
      <w:r>
        <w:t>Kebab tortilla duża,</w:t>
      </w:r>
    </w:p>
    <w:p w:rsidR="00E75473" w:rsidRDefault="00DE2209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  <w:jc w:val="both"/>
      </w:pPr>
      <w:r>
        <w:t>Kebab tortilla mała,</w:t>
      </w:r>
    </w:p>
    <w:p w:rsidR="00E75473" w:rsidRDefault="00DE2209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  <w:jc w:val="both"/>
      </w:pPr>
      <w:r>
        <w:t xml:space="preserve">Kebab tortilla </w:t>
      </w:r>
      <w:r>
        <w:t>serowa duża,</w:t>
      </w:r>
    </w:p>
    <w:p w:rsidR="00E75473" w:rsidRDefault="00DE2209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  <w:jc w:val="both"/>
      </w:pPr>
      <w:r>
        <w:t>Kebab tortilla serowa mała,</w:t>
      </w:r>
    </w:p>
    <w:p w:rsidR="00E75473" w:rsidRDefault="00DE2209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  <w:jc w:val="both"/>
      </w:pPr>
      <w:r>
        <w:t>Hamburger wieprzowy,</w:t>
      </w:r>
    </w:p>
    <w:p w:rsidR="00E75473" w:rsidRDefault="00DE2209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  <w:jc w:val="both"/>
      </w:pPr>
      <w:r>
        <w:t>Hamburger 100% wołowina,</w:t>
      </w:r>
    </w:p>
    <w:p w:rsidR="00E75473" w:rsidRDefault="00DE2209">
      <w:pPr>
        <w:pStyle w:val="Teksttreci0"/>
        <w:numPr>
          <w:ilvl w:val="0"/>
          <w:numId w:val="1"/>
        </w:numPr>
        <w:shd w:val="clear" w:color="auto" w:fill="auto"/>
        <w:tabs>
          <w:tab w:val="left" w:pos="834"/>
        </w:tabs>
        <w:ind w:firstLine="380"/>
        <w:jc w:val="both"/>
      </w:pPr>
      <w:r>
        <w:t>Hot-dog,</w:t>
      </w:r>
    </w:p>
    <w:p w:rsidR="00E75473" w:rsidRDefault="00DE2209">
      <w:pPr>
        <w:pStyle w:val="Teksttreci0"/>
        <w:numPr>
          <w:ilvl w:val="0"/>
          <w:numId w:val="1"/>
        </w:numPr>
        <w:shd w:val="clear" w:color="auto" w:fill="auto"/>
        <w:tabs>
          <w:tab w:val="left" w:pos="839"/>
        </w:tabs>
        <w:ind w:firstLine="380"/>
        <w:jc w:val="both"/>
      </w:pPr>
      <w:r>
        <w:t>Hot-dog francuski,</w:t>
      </w:r>
    </w:p>
    <w:p w:rsidR="00E75473" w:rsidRDefault="00DE2209">
      <w:pPr>
        <w:pStyle w:val="Teksttreci0"/>
        <w:numPr>
          <w:ilvl w:val="0"/>
          <w:numId w:val="1"/>
        </w:numPr>
        <w:shd w:val="clear" w:color="auto" w:fill="auto"/>
        <w:tabs>
          <w:tab w:val="left" w:pos="839"/>
        </w:tabs>
        <w:ind w:firstLine="380"/>
        <w:jc w:val="both"/>
      </w:pPr>
      <w:r>
        <w:t>Zapiekanka mała,</w:t>
      </w:r>
    </w:p>
    <w:p w:rsidR="00E75473" w:rsidRDefault="00DE2209">
      <w:pPr>
        <w:pStyle w:val="Teksttreci0"/>
        <w:numPr>
          <w:ilvl w:val="0"/>
          <w:numId w:val="1"/>
        </w:numPr>
        <w:shd w:val="clear" w:color="auto" w:fill="auto"/>
        <w:tabs>
          <w:tab w:val="left" w:pos="839"/>
        </w:tabs>
        <w:ind w:firstLine="380"/>
        <w:jc w:val="both"/>
      </w:pPr>
      <w:r>
        <w:t>Zapiekanka duża,</w:t>
      </w:r>
    </w:p>
    <w:p w:rsidR="00E75473" w:rsidRDefault="00DE2209">
      <w:pPr>
        <w:pStyle w:val="Teksttreci0"/>
        <w:numPr>
          <w:ilvl w:val="0"/>
          <w:numId w:val="1"/>
        </w:numPr>
        <w:shd w:val="clear" w:color="auto" w:fill="auto"/>
        <w:tabs>
          <w:tab w:val="left" w:pos="839"/>
        </w:tabs>
        <w:ind w:firstLine="380"/>
        <w:jc w:val="both"/>
      </w:pPr>
      <w:r>
        <w:t xml:space="preserve">Zapiekanka </w:t>
      </w:r>
      <w:proofErr w:type="spellStart"/>
      <w:r>
        <w:t>gyros</w:t>
      </w:r>
      <w:proofErr w:type="spellEnd"/>
      <w:r>
        <w:t xml:space="preserve"> mała,</w:t>
      </w:r>
    </w:p>
    <w:p w:rsidR="00E75473" w:rsidRDefault="00DE2209">
      <w:pPr>
        <w:pStyle w:val="Teksttreci0"/>
        <w:numPr>
          <w:ilvl w:val="0"/>
          <w:numId w:val="1"/>
        </w:numPr>
        <w:shd w:val="clear" w:color="auto" w:fill="auto"/>
        <w:tabs>
          <w:tab w:val="left" w:pos="839"/>
        </w:tabs>
        <w:ind w:firstLine="380"/>
        <w:jc w:val="both"/>
      </w:pPr>
      <w:r>
        <w:t xml:space="preserve">Zapiekanka </w:t>
      </w:r>
      <w:proofErr w:type="spellStart"/>
      <w:r>
        <w:t>gyros</w:t>
      </w:r>
      <w:proofErr w:type="spellEnd"/>
      <w:r>
        <w:t xml:space="preserve"> duża,</w:t>
      </w:r>
    </w:p>
    <w:p w:rsidR="00E75473" w:rsidRDefault="00DE2209">
      <w:pPr>
        <w:pStyle w:val="Teksttreci0"/>
        <w:numPr>
          <w:ilvl w:val="0"/>
          <w:numId w:val="1"/>
        </w:numPr>
        <w:shd w:val="clear" w:color="auto" w:fill="auto"/>
        <w:tabs>
          <w:tab w:val="left" w:pos="839"/>
        </w:tabs>
        <w:ind w:firstLine="380"/>
        <w:jc w:val="both"/>
      </w:pPr>
      <w:r>
        <w:t>Zapiekanka z warzywami mała,</w:t>
      </w:r>
    </w:p>
    <w:p w:rsidR="00E75473" w:rsidRDefault="00DE2209">
      <w:pPr>
        <w:pStyle w:val="Teksttreci0"/>
        <w:numPr>
          <w:ilvl w:val="0"/>
          <w:numId w:val="1"/>
        </w:numPr>
        <w:shd w:val="clear" w:color="auto" w:fill="auto"/>
        <w:tabs>
          <w:tab w:val="left" w:pos="839"/>
        </w:tabs>
        <w:spacing w:after="40"/>
        <w:ind w:firstLine="380"/>
        <w:jc w:val="both"/>
      </w:pPr>
      <w:r>
        <w:t>Zapiekanka z warzywami duża,</w:t>
      </w:r>
    </w:p>
    <w:p w:rsidR="00E75473" w:rsidRDefault="00DE2209">
      <w:pPr>
        <w:pStyle w:val="Teksttreci0"/>
        <w:shd w:val="clear" w:color="auto" w:fill="auto"/>
        <w:ind w:firstLine="0"/>
        <w:jc w:val="both"/>
      </w:pPr>
      <w:r>
        <w:t>Brak wykazu składników dotyczył 4 niżej wymienionych potraw:</w:t>
      </w:r>
    </w:p>
    <w:p w:rsidR="00E75473" w:rsidRDefault="00DE2209">
      <w:pPr>
        <w:pStyle w:val="Teksttreci0"/>
        <w:numPr>
          <w:ilvl w:val="0"/>
          <w:numId w:val="2"/>
        </w:numPr>
        <w:shd w:val="clear" w:color="auto" w:fill="auto"/>
        <w:tabs>
          <w:tab w:val="left" w:pos="718"/>
        </w:tabs>
        <w:ind w:firstLine="380"/>
        <w:jc w:val="both"/>
      </w:pPr>
      <w:r>
        <w:t>kebab duży w bułce,</w:t>
      </w:r>
    </w:p>
    <w:p w:rsidR="00E75473" w:rsidRDefault="00DE2209">
      <w:pPr>
        <w:pStyle w:val="Teksttreci0"/>
        <w:numPr>
          <w:ilvl w:val="0"/>
          <w:numId w:val="2"/>
        </w:numPr>
        <w:shd w:val="clear" w:color="auto" w:fill="auto"/>
        <w:tabs>
          <w:tab w:val="left" w:pos="718"/>
        </w:tabs>
        <w:ind w:firstLine="380"/>
        <w:jc w:val="both"/>
      </w:pPr>
      <w:r>
        <w:t>kebab w bułce,</w:t>
      </w:r>
    </w:p>
    <w:p w:rsidR="00E75473" w:rsidRDefault="00DE2209">
      <w:pPr>
        <w:pStyle w:val="Teksttreci0"/>
        <w:numPr>
          <w:ilvl w:val="0"/>
          <w:numId w:val="2"/>
        </w:numPr>
        <w:shd w:val="clear" w:color="auto" w:fill="auto"/>
        <w:tabs>
          <w:tab w:val="left" w:pos="718"/>
        </w:tabs>
        <w:ind w:firstLine="380"/>
        <w:jc w:val="both"/>
      </w:pPr>
      <w:r>
        <w:t>hamburger wieprzowy,</w:t>
      </w:r>
    </w:p>
    <w:p w:rsidR="00E75473" w:rsidRDefault="00DE2209">
      <w:pPr>
        <w:pStyle w:val="Teksttreci0"/>
        <w:numPr>
          <w:ilvl w:val="0"/>
          <w:numId w:val="2"/>
        </w:numPr>
        <w:shd w:val="clear" w:color="auto" w:fill="auto"/>
        <w:tabs>
          <w:tab w:val="left" w:pos="718"/>
        </w:tabs>
        <w:ind w:firstLine="380"/>
        <w:jc w:val="both"/>
      </w:pPr>
      <w:r>
        <w:lastRenderedPageBreak/>
        <w:t>hamburger 100% wołowina.</w:t>
      </w:r>
    </w:p>
    <w:p w:rsidR="00E75473" w:rsidRDefault="00DE2209">
      <w:pPr>
        <w:pStyle w:val="Teksttreci0"/>
        <w:shd w:val="clear" w:color="auto" w:fill="auto"/>
        <w:ind w:firstLine="560"/>
        <w:jc w:val="both"/>
      </w:pPr>
      <w:r>
        <w:t>Oznakowanie w/w potraw było sprzeczne z art. 4 ust. 1 ustawy o jakości handlowej w związku z naruszeniem wymagań w</w:t>
      </w:r>
      <w:r>
        <w:t xml:space="preserve"> zakresie jakości określonych w § 19 ust. 1 </w:t>
      </w:r>
      <w:proofErr w:type="spellStart"/>
      <w:r>
        <w:t>pkt</w:t>
      </w:r>
      <w:proofErr w:type="spellEnd"/>
      <w:r>
        <w:t xml:space="preserve"> 3 i ust. 2 rozporządzenia Ministra Rolnictwa i Rozwoju Wsi z dnia 23 grudnia 2014r. w sprawie znakowania poszczególnych rodzajów środków spożywczych (</w:t>
      </w:r>
      <w:proofErr w:type="spellStart"/>
      <w:r>
        <w:t>Dz.U</w:t>
      </w:r>
      <w:proofErr w:type="spellEnd"/>
      <w:r>
        <w:t>. z 2015r., poz. 29 ze zm.), dalej „rozporządzenie w s</w:t>
      </w:r>
      <w:r>
        <w:t>prawie znakowania”. Przedsiębiorca ma obowiązek uwidocznić wykaz składników środków spożywczych w miejscu sprzedaży na wywieszce dotyczącej danego środka spożywczego lub w inny sposób w miejscu dostępnym bezpośrednio konsumentowi finalnemu.</w:t>
      </w:r>
    </w:p>
    <w:p w:rsidR="00E75473" w:rsidRDefault="00DE2209">
      <w:pPr>
        <w:pStyle w:val="Teksttreci0"/>
        <w:shd w:val="clear" w:color="auto" w:fill="auto"/>
        <w:ind w:firstLine="700"/>
        <w:jc w:val="both"/>
      </w:pPr>
      <w:r>
        <w:t>Stwierdzone nie</w:t>
      </w:r>
      <w:r>
        <w:t>prawidłowości zostały udokumentowane w protokole kontroli z dnia 21 stycznia 2019r. (numer akt DEk.8361.10.2019) oraz w postaci graficznej (zdjęcia dołączone do akt sprawy).</w:t>
      </w:r>
    </w:p>
    <w:p w:rsidR="00E75473" w:rsidRDefault="00DE2209">
      <w:pPr>
        <w:pStyle w:val="Teksttreci0"/>
        <w:shd w:val="clear" w:color="auto" w:fill="auto"/>
        <w:ind w:firstLine="700"/>
        <w:jc w:val="both"/>
      </w:pPr>
      <w:r>
        <w:t>Wobec powyższego należy uznać, że kontrolowany przedsiębiorca wprowadził do obrotu</w:t>
      </w:r>
      <w:r>
        <w:t xml:space="preserve"> artykuły rolno-spożywcze niewłaściwej jakości.</w:t>
      </w:r>
    </w:p>
    <w:p w:rsidR="00E75473" w:rsidRDefault="00DE2209">
      <w:pPr>
        <w:pStyle w:val="Teksttreci0"/>
        <w:shd w:val="clear" w:color="auto" w:fill="auto"/>
        <w:ind w:firstLine="700"/>
        <w:jc w:val="both"/>
      </w:pPr>
      <w:r>
        <w:t xml:space="preserve">Pismem z dnia 29 marca 2019r. Warmińsko-Mazurski Wojewódzki Inspektor Inspekcji Handlowej poinformował stronę o wszczęciu na podstawie art. 40a ust. 1 </w:t>
      </w:r>
      <w:proofErr w:type="spellStart"/>
      <w:r>
        <w:t>pkt</w:t>
      </w:r>
      <w:proofErr w:type="spellEnd"/>
      <w:r>
        <w:t xml:space="preserve"> 3 ustawy o jakości handlowej postępowania administrac</w:t>
      </w:r>
      <w:r>
        <w:t>yjnego, mającego na celu wymierzenie kontrolowanemu kary pieniężnej za wprowadzenie do obrotu 17 partii potraw nieodpowiadających jakości handlowej. Poinformowano również stronę o przysługującym jej prawie do wypowiedzenia się co do zebranych dowodów i mat</w:t>
      </w:r>
      <w:r>
        <w:t>eriałów oraz zgłoszonych żądań, a także przeglądania akt sprawy i sporządzania z nich notatek, kopii lub odpisów (art. 10 i 73 k.p.a.). Wniesiono także o przesłanie informacji o liczbie zatrudnionych średniorocznie pracowników oraz informacji o wielkości o</w:t>
      </w:r>
      <w:r>
        <w:t>brotów i przychodu osiągniętego w 2018 roku.</w:t>
      </w:r>
    </w:p>
    <w:p w:rsidR="00E75473" w:rsidRDefault="00DE2209">
      <w:pPr>
        <w:pStyle w:val="Teksttreci0"/>
        <w:shd w:val="clear" w:color="auto" w:fill="auto"/>
        <w:ind w:firstLine="700"/>
        <w:jc w:val="both"/>
      </w:pPr>
      <w:r>
        <w:t>Kontrolowany w piśmie z dnia 11 kwietnia 2019r. przedstawił swoje stanowisko w sprawie. Poinformował, że jego zdaniem kontrola Inspekcji Handlowej nie stwierdziła nieprawidłowości. Ponadto oświadczył, że towary,</w:t>
      </w:r>
      <w:r>
        <w:t xml:space="preserve"> które oferuje klientom są świeże i z pewnego źródła.</w:t>
      </w:r>
    </w:p>
    <w:p w:rsidR="00E75473" w:rsidRDefault="00DE2209">
      <w:pPr>
        <w:pStyle w:val="Teksttreci0"/>
        <w:shd w:val="clear" w:color="auto" w:fill="auto"/>
        <w:ind w:firstLine="700"/>
        <w:jc w:val="both"/>
      </w:pPr>
      <w:r>
        <w:t>Pismem z dnia 15 kwietnia 2019r. Warmińsko-Mazurski Wojewódzki Inspektor Inspekcji Handlowej poinformował stronę o zakończeniu postępowania administracyjnego, a także o przysługującym jej uprawnieniu do</w:t>
      </w:r>
      <w:r>
        <w:t xml:space="preserve"> zapoznania się z aktami sprawy i prawie wypowiedzenia się co do zebranych dowodów i materiałów. Ponownie wniósł o przesłanie informacji o liczbie zatrudnionych średniorocznie pracowników oraz informacji o wielkości obrotów i przychodu osiągniętego w 2018 </w:t>
      </w:r>
      <w:r>
        <w:t>roku.</w:t>
      </w:r>
    </w:p>
    <w:p w:rsidR="00E75473" w:rsidRDefault="00DE2209">
      <w:pPr>
        <w:pStyle w:val="Teksttreci0"/>
        <w:shd w:val="clear" w:color="auto" w:fill="auto"/>
        <w:ind w:firstLine="760"/>
        <w:jc w:val="both"/>
      </w:pPr>
      <w:r>
        <w:t xml:space="preserve">Strona nie skorzystała z przysługujących jej uprawnień. W dniu 30 kwietnia 2019r. drogą e-mail przesłała informację o liczbie zatrudnionych średniorocznie pracowników oraz o wielkości </w:t>
      </w:r>
      <w:r>
        <w:lastRenderedPageBreak/>
        <w:t>obrotów i przychodu osiągniętego w 2018 roku.</w:t>
      </w:r>
    </w:p>
    <w:p w:rsidR="00E75473" w:rsidRDefault="00DE2209">
      <w:pPr>
        <w:pStyle w:val="Teksttreci0"/>
        <w:shd w:val="clear" w:color="auto" w:fill="auto"/>
        <w:ind w:firstLine="760"/>
        <w:jc w:val="both"/>
      </w:pPr>
      <w:r>
        <w:t>Warmińsko-Mazurski W</w:t>
      </w:r>
      <w:r>
        <w:t>ojewódzki Inspektor Inspekcji Handlowej ustalił i stwierdził, co następuje:</w:t>
      </w:r>
    </w:p>
    <w:p w:rsidR="00E75473" w:rsidRDefault="00DE2209">
      <w:pPr>
        <w:pStyle w:val="Teksttreci0"/>
        <w:shd w:val="clear" w:color="auto" w:fill="auto"/>
        <w:ind w:firstLine="760"/>
        <w:jc w:val="both"/>
      </w:pPr>
      <w:r>
        <w:t xml:space="preserve">Za wprowadzenie do obrotu artykułów rolno-spożywczych nie odpowiadających jakości handlowej zgodnie z treścią art. 40a ust. 1 </w:t>
      </w:r>
      <w:proofErr w:type="spellStart"/>
      <w:r>
        <w:t>pkt</w:t>
      </w:r>
      <w:proofErr w:type="spellEnd"/>
      <w:r>
        <w:t xml:space="preserve"> 3 ustawy o jakości handlowej, grozi kara pieniężna</w:t>
      </w:r>
      <w:r>
        <w:t xml:space="preserve"> w wysokości do pięciokrotnej wartości korzyści majątkowej uzyskanej, lub która mogłaby zostać uzyskana przez wprowadzenie tych artykułów rolno-spożywczych do obrotu, nie niższej jednak niż 500 zł.</w:t>
      </w:r>
    </w:p>
    <w:p w:rsidR="00E75473" w:rsidRDefault="00DE2209">
      <w:pPr>
        <w:pStyle w:val="Teksttreci0"/>
        <w:shd w:val="clear" w:color="auto" w:fill="auto"/>
        <w:ind w:firstLine="760"/>
        <w:jc w:val="both"/>
      </w:pPr>
      <w:r>
        <w:t xml:space="preserve">Zgodnie z art. 17 ust. 1 rozporządzenia (WE) Nr 178/2002 </w:t>
      </w:r>
      <w:r>
        <w:t xml:space="preserve">Parlamentu Europejskiego i Rady z dnia 28 stycznia 2002 r. ustanawiającego ogólne zasady i wymagania prawa żywnościowego, powołującego Europejski Urząd ds. Bezpieczeństwa Żywności oraz ustanawiającego procedury w zakresie bezpieczeństwa żywności (Dz. Urz. </w:t>
      </w:r>
      <w:r>
        <w:t xml:space="preserve">UE L. 31 z 01.02.2002 </w:t>
      </w:r>
      <w:proofErr w:type="spellStart"/>
      <w:r>
        <w:t>str.l</w:t>
      </w:r>
      <w:proofErr w:type="spellEnd"/>
      <w:r>
        <w:t xml:space="preserve"> z </w:t>
      </w:r>
      <w:proofErr w:type="spellStart"/>
      <w:r>
        <w:t>późn</w:t>
      </w:r>
      <w:proofErr w:type="spellEnd"/>
      <w:r>
        <w:t>. zm.), /dalej: „rozporządzenia</w:t>
      </w:r>
      <w:r w:rsidR="0094443B">
        <w:t xml:space="preserve"> </w:t>
      </w:r>
      <w:r>
        <w:t xml:space="preserve">Nr 178/2002’7 podmioty działające na rynku spożywczym i pasz zapewniają, na wszystkich etapach produkcji, przetwarzania i dystrybucji w przedsiębiorstwach będących pod ich kontrolą, zgodność </w:t>
      </w:r>
      <w:r>
        <w:t>tej żywności lub pasz z wymogami prawa żywnościowego właściwymi dla ich działalności i kontrolowanie przestrzegania tych wymogów.</w:t>
      </w:r>
    </w:p>
    <w:p w:rsidR="00E75473" w:rsidRDefault="00DE2209">
      <w:pPr>
        <w:pStyle w:val="Teksttreci0"/>
        <w:shd w:val="clear" w:color="auto" w:fill="auto"/>
        <w:ind w:firstLine="760"/>
        <w:jc w:val="both"/>
      </w:pPr>
      <w:r>
        <w:t>Jak wynika z przepisu art. 9 ust. 1 litera c rozporządzenia Parlamentu Europejskiego i Rady (UE) nr 1169/2011 z dnia 25 paździ</w:t>
      </w:r>
      <w:r>
        <w:t xml:space="preserve">ernika 201 </w:t>
      </w:r>
      <w:proofErr w:type="spellStart"/>
      <w:r>
        <w:t>lr</w:t>
      </w:r>
      <w:proofErr w:type="spellEnd"/>
      <w:r>
        <w:t>. w sprawie przekazywania konsumentom informacji na temat żywności, zmiany rozporządzeń Parlamentu Europejskiego i Rady (WE) nr 1924/2006 i (WE) nr 1925/2006 oraz uchylenia dyrektywy Komisji 87/250/EWG, dyrektywy Rady 90/496/EWG, dyrektywy Kom</w:t>
      </w:r>
      <w:r>
        <w:t>isji 1999/10/WE, dyrektywy 2000/13/WE Parlamentu Europejskiego i Rady, dyrektyw Komisji 2002/67/WE i 2008/5/WE oraz rozporządzenia Komisji (WE) nr 608/2004 (</w:t>
      </w:r>
      <w:proofErr w:type="spellStart"/>
      <w:r>
        <w:t>Dz.U</w:t>
      </w:r>
      <w:proofErr w:type="spellEnd"/>
      <w:r>
        <w:t>. L. 304 z 22.11.2011, s. 18 ze zm.), dalej „rozporządzenie nr 1169/2011”, wykaz danych szczegó</w:t>
      </w:r>
      <w:r>
        <w:t>łowych, których podanie jest obowiązkowe, to wszelkie składniki lub substancje pomocnicze w przetwórstwie wymienione w załączniku II lub uzyskane z substancji lub produktów wymienionych w załączniku II, powodujące alergie lub reakcje nietolerancji, użyte p</w:t>
      </w:r>
      <w:r>
        <w:t>rzy wytworzeniu lub przygotowywaniu żywności i nadal obecne w produkcie gotowym, nawet jeżeli ich forma uległa zmianie.</w:t>
      </w:r>
    </w:p>
    <w:p w:rsidR="00E75473" w:rsidRDefault="00DE2209">
      <w:pPr>
        <w:pStyle w:val="Teksttreci0"/>
        <w:shd w:val="clear" w:color="auto" w:fill="auto"/>
        <w:ind w:firstLine="760"/>
        <w:jc w:val="both"/>
      </w:pPr>
      <w:r>
        <w:t>Ponadto zgodnie z art. 44 ust. 1 litera a rozporządzenia nr 1169/2011 w przypadku oferowania środków spożywczych do sprzedaży konsumento</w:t>
      </w:r>
      <w:r>
        <w:t>m finalnym lub zakładom żywienia zbiorowego bez opakowania lub w przypadku pakowania środków spożywczych w pomieszczeniu sprzedaży na życzenie konsumenta lub ich pakowania do bezpośredniej sprzedaży przekazanie danych szczegółowych określonych w art. 9 ust</w:t>
      </w:r>
      <w:r>
        <w:t>. 1 lit. c) jest obowiązkowe.</w:t>
      </w:r>
    </w:p>
    <w:p w:rsidR="00E75473" w:rsidRDefault="00DE2209">
      <w:pPr>
        <w:pStyle w:val="Teksttreci0"/>
        <w:shd w:val="clear" w:color="auto" w:fill="auto"/>
        <w:ind w:firstLine="760"/>
        <w:jc w:val="both"/>
      </w:pPr>
      <w:r>
        <w:lastRenderedPageBreak/>
        <w:t>W myśl art. 18 rozporządzenia nr 1169/2011 wykaz składników rozpoczyna się lub jest poprzedzony właściwym nagłówkiem, który składa się z wyrazu "składniki" lub zawiera ten wyraz. Obejmuje on wszystkie składniki środka spożywcz</w:t>
      </w:r>
      <w:r>
        <w:t>ego, w malejącej kolejności ich masy w momencie użycia składników przy wytwarzaniu tego środka spożywczego.</w:t>
      </w:r>
    </w:p>
    <w:p w:rsidR="00E75473" w:rsidRDefault="00DE2209">
      <w:pPr>
        <w:pStyle w:val="Teksttreci0"/>
        <w:shd w:val="clear" w:color="auto" w:fill="auto"/>
        <w:ind w:firstLine="760"/>
        <w:jc w:val="both"/>
      </w:pPr>
      <w:r>
        <w:t>Stosownie do art. 4 ust. 1 ustawy o jakości handlowej wprowadzane do obrotu artykuły rolno-spożywcze powinny spełniać wymagania w zakresie jakości h</w:t>
      </w:r>
      <w:r>
        <w:t>andlowej jeżeli w przepisach o jakości handlowej zostały określone takie wymagania, oraz dodatkowe wymagania dotyczące tych artykułów, jeżeli ich spełnienie zostało zadeklarowane przez producenta.</w:t>
      </w:r>
    </w:p>
    <w:p w:rsidR="00E75473" w:rsidRDefault="00DE2209">
      <w:pPr>
        <w:pStyle w:val="Teksttreci0"/>
        <w:shd w:val="clear" w:color="auto" w:fill="auto"/>
        <w:ind w:firstLine="760"/>
        <w:jc w:val="both"/>
      </w:pPr>
      <w:r>
        <w:t xml:space="preserve">Zgodnie z art. 3 </w:t>
      </w:r>
      <w:proofErr w:type="spellStart"/>
      <w:r>
        <w:t>pkt</w:t>
      </w:r>
      <w:proofErr w:type="spellEnd"/>
      <w:r>
        <w:t xml:space="preserve"> 5 ustawy o jakości handlowej, jakość h</w:t>
      </w:r>
      <w:r>
        <w:t xml:space="preserve">andlowa to cechy artykułu rolno-spożywczego dotyczące jego właściwości organoleptycznych, fizykochemicznych i mikrobiologicznych w zakresie technologii produkcji, wielkości lub masy oraz wymagania wynikające ze sposobu produkcji, opakowania, prezentacji i </w:t>
      </w:r>
      <w:r>
        <w:t>oznakowania, nie objęte wymaganiami sanitarnymi, weterynaryjnymi lub fitosanitarnymi.</w:t>
      </w:r>
    </w:p>
    <w:p w:rsidR="00E75473" w:rsidRDefault="00DE2209">
      <w:pPr>
        <w:pStyle w:val="Teksttreci0"/>
        <w:shd w:val="clear" w:color="auto" w:fill="auto"/>
        <w:ind w:firstLine="760"/>
        <w:jc w:val="both"/>
      </w:pPr>
      <w:r>
        <w:t>W świetle powyższego strona odpowiada za jakość handlową wprowadzanych przez siebie do obrotu artykułów rolno- spożywczych.</w:t>
      </w:r>
    </w:p>
    <w:p w:rsidR="00E75473" w:rsidRDefault="00DE2209">
      <w:pPr>
        <w:pStyle w:val="Teksttreci0"/>
        <w:shd w:val="clear" w:color="auto" w:fill="auto"/>
        <w:ind w:firstLine="760"/>
        <w:jc w:val="both"/>
      </w:pPr>
      <w:r>
        <w:t>Zgodnie z zasadą wyrażoną w art. 17 cytowanego</w:t>
      </w:r>
      <w:r>
        <w:t xml:space="preserve"> wyżej rozporządzenia Nr 178/2002 kary i środki karne mające zastosowanie w przypadkach naruszenia prawa żywnościowego powinny być skuteczne, proporcjonalne i odstraszające.</w:t>
      </w:r>
    </w:p>
    <w:p w:rsidR="00E75473" w:rsidRDefault="00DE2209">
      <w:pPr>
        <w:pStyle w:val="Teksttreci0"/>
        <w:shd w:val="clear" w:color="auto" w:fill="auto"/>
        <w:ind w:firstLine="760"/>
        <w:jc w:val="both"/>
      </w:pPr>
      <w:r>
        <w:t>Mając na względzie dokonane ustalenia, w toku prowadzonego postępowania administra</w:t>
      </w:r>
      <w:r>
        <w:t>cyjnego zmierzającego do wymierzenia kary pieniężnej Warmińsko- Mazurski Wojewódzki Inspektor Inspekcji Handlowej wziął pod uwagę zgodnie z przepisem art. 40a ust. 5 ustawy o jakości handlowej: stopień szkodliwości czynu, zakres naruszenia, dotychczasową d</w:t>
      </w:r>
      <w:r>
        <w:t>ziałalność podmiotu działającego na rynku artykułów rolno-spożywczych i wielkość jego obrotów oraz przychodu, a także wartość kontrolowanych artykułów rolno- spożywczych.</w:t>
      </w:r>
    </w:p>
    <w:p w:rsidR="00E75473" w:rsidRDefault="00DE2209">
      <w:pPr>
        <w:pStyle w:val="Teksttreci0"/>
        <w:shd w:val="clear" w:color="auto" w:fill="auto"/>
        <w:ind w:firstLine="720"/>
        <w:jc w:val="both"/>
      </w:pPr>
      <w:r>
        <w:t>Wykonując dyspozycję w/w przepisów w odniesieniu do zakwestionowanych 17 partii potra</w:t>
      </w:r>
      <w:r>
        <w:t>w bez wykazu składników alergennych, w tym 4 partii potraw, z uwagi na brak wykazu składników Warmińsko- Mazurski Wojewódzki Inspektor Inspekcji Handlowej oceniając:</w:t>
      </w:r>
    </w:p>
    <w:p w:rsidR="00E75473" w:rsidRDefault="00DE2209">
      <w:pPr>
        <w:pStyle w:val="Teksttreci0"/>
        <w:numPr>
          <w:ilvl w:val="0"/>
          <w:numId w:val="3"/>
        </w:numPr>
        <w:shd w:val="clear" w:color="auto" w:fill="auto"/>
        <w:tabs>
          <w:tab w:val="left" w:pos="698"/>
        </w:tabs>
        <w:ind w:left="700" w:hanging="340"/>
        <w:jc w:val="both"/>
      </w:pPr>
      <w:r>
        <w:rPr>
          <w:b/>
          <w:bCs/>
          <w:sz w:val="22"/>
          <w:szCs w:val="22"/>
        </w:rPr>
        <w:t xml:space="preserve">stopień szkodliwości czynu </w:t>
      </w:r>
      <w:r>
        <w:t>stwierdził, że brak w miejscu sprzedaży wykazu składników i peł</w:t>
      </w:r>
      <w:r>
        <w:t>nych informacji o obecności w gotowych potrawach składników alergennych w istotny sposób naruszało interesy konsumentów. Konsument posiada prawo do pełnej i rzetelnej informacji o produkcie. Przedmiotowych informacji w kontrolowanej placówce nie uzyskał, c</w:t>
      </w:r>
      <w:r>
        <w:t xml:space="preserve">o w konsekwencji mogło skutkować zakupem produktu niezgodnego z jego oczekiwaniami, a dla osób nietolerujących bądź uczulonych na dany składnik zakupem produktu niebezpiecznego. Należy podkreślić, że brak w miejscu sprzedaży </w:t>
      </w:r>
      <w:r>
        <w:lastRenderedPageBreak/>
        <w:t>obowiązkowych, pełnych informac</w:t>
      </w:r>
      <w:r>
        <w:t>ji o produkcie, uniemożliwia konsumentom dokonanie swobodnej i rzeczowej oceny oferowanych na rynku towarów i usług oraz może wprowadzać ich w błąd,</w:t>
      </w:r>
    </w:p>
    <w:p w:rsidR="00E75473" w:rsidRDefault="00DE2209">
      <w:pPr>
        <w:pStyle w:val="Teksttreci0"/>
        <w:numPr>
          <w:ilvl w:val="0"/>
          <w:numId w:val="3"/>
        </w:numPr>
        <w:shd w:val="clear" w:color="auto" w:fill="auto"/>
        <w:tabs>
          <w:tab w:val="left" w:pos="698"/>
        </w:tabs>
        <w:ind w:left="700" w:hanging="340"/>
        <w:jc w:val="both"/>
      </w:pPr>
      <w:r>
        <w:rPr>
          <w:b/>
          <w:bCs/>
          <w:sz w:val="22"/>
          <w:szCs w:val="22"/>
        </w:rPr>
        <w:t xml:space="preserve">zakres naruszenia </w:t>
      </w:r>
      <w:r>
        <w:t xml:space="preserve">uznał, że jest istotny, bowiem stwierdzone nieprawidłowości naruszyły przepisy mające na </w:t>
      </w:r>
      <w:r>
        <w:t>celu ochronę konsumentów. Należy podkreślić, że brak pełnych informacji o obecności w gotowych potrawach składników alergennych narusza interesy konsumentów nie tylko ze względu na ich prawo, ale także ze względu na istotne znaczenie pewnych informacji dla</w:t>
      </w:r>
      <w:r>
        <w:t xml:space="preserve"> zdrowia. Konsumenci muszą mieć dostęp do tych informacji, aby mieć gwarancję, że zakupiony przez nich produkt spełnia wymagania i jest dla nich bezpieczny,</w:t>
      </w:r>
    </w:p>
    <w:p w:rsidR="00E75473" w:rsidRDefault="00DE2209">
      <w:pPr>
        <w:pStyle w:val="Teksttreci0"/>
        <w:numPr>
          <w:ilvl w:val="0"/>
          <w:numId w:val="3"/>
        </w:numPr>
        <w:shd w:val="clear" w:color="auto" w:fill="auto"/>
        <w:tabs>
          <w:tab w:val="left" w:pos="698"/>
        </w:tabs>
        <w:ind w:left="700" w:hanging="340"/>
        <w:jc w:val="both"/>
      </w:pPr>
      <w:r>
        <w:rPr>
          <w:b/>
          <w:bCs/>
          <w:sz w:val="22"/>
          <w:szCs w:val="22"/>
        </w:rPr>
        <w:t xml:space="preserve">dotychczasową działalność </w:t>
      </w:r>
      <w:r>
        <w:t>podmiotu działającego na rynku artykułów rolno- spożywczych stwierdził, ż</w:t>
      </w:r>
      <w:r>
        <w:t>e przedsiębiorca przez ostatnie 24 m-ce nie był karany przez Warmińsko-Mazurskiego Wojewódzkiego Inspektora Inspekcji Handlowej za podobne nieprawidłowości,</w:t>
      </w:r>
    </w:p>
    <w:p w:rsidR="00E75473" w:rsidRDefault="00DE2209">
      <w:pPr>
        <w:pStyle w:val="Teksttreci0"/>
        <w:numPr>
          <w:ilvl w:val="0"/>
          <w:numId w:val="3"/>
        </w:numPr>
        <w:shd w:val="clear" w:color="auto" w:fill="auto"/>
        <w:tabs>
          <w:tab w:val="left" w:pos="698"/>
        </w:tabs>
        <w:ind w:left="700" w:hanging="340"/>
        <w:jc w:val="both"/>
      </w:pPr>
      <w:r>
        <w:rPr>
          <w:b/>
          <w:bCs/>
          <w:sz w:val="22"/>
          <w:szCs w:val="22"/>
        </w:rPr>
        <w:t xml:space="preserve">wielkość obrotów oraz przychodu </w:t>
      </w:r>
      <w:r>
        <w:t>w oparciu o przedłożone przez stronę oświadczenie o wielkości obrot</w:t>
      </w:r>
      <w:r>
        <w:t xml:space="preserve">u i oświadczenie o liczbie zatrudnionych średniorocznie pracowników Warmińsko-Mazurski Wojewódzki Inspektor Inspekcji Handlowej stwierdził, że strona należy do kategorii tzw. „ </w:t>
      </w:r>
      <w:proofErr w:type="spellStart"/>
      <w:r>
        <w:t>mikroprzedsiębiorców</w:t>
      </w:r>
      <w:proofErr w:type="spellEnd"/>
      <w:r>
        <w:t>”,</w:t>
      </w:r>
    </w:p>
    <w:p w:rsidR="00E75473" w:rsidRDefault="00DE2209">
      <w:pPr>
        <w:pStyle w:val="Teksttreci0"/>
        <w:numPr>
          <w:ilvl w:val="0"/>
          <w:numId w:val="3"/>
        </w:numPr>
        <w:shd w:val="clear" w:color="auto" w:fill="auto"/>
        <w:tabs>
          <w:tab w:val="left" w:pos="698"/>
        </w:tabs>
        <w:spacing w:after="400"/>
        <w:ind w:left="700" w:hanging="340"/>
        <w:jc w:val="both"/>
      </w:pPr>
      <w:r>
        <w:rPr>
          <w:b/>
          <w:bCs/>
          <w:sz w:val="22"/>
          <w:szCs w:val="22"/>
        </w:rPr>
        <w:t xml:space="preserve">wartość kontrolowanych artykułów rolno-spożywczych- </w:t>
      </w:r>
      <w:r>
        <w:t>zakw</w:t>
      </w:r>
      <w:r>
        <w:t>estionowano 17 partii potraw, wartości 201 zł.</w:t>
      </w:r>
    </w:p>
    <w:p w:rsidR="00E75473" w:rsidRDefault="00DE2209">
      <w:pPr>
        <w:pStyle w:val="Teksttreci0"/>
        <w:shd w:val="clear" w:color="auto" w:fill="auto"/>
        <w:ind w:left="360" w:firstLine="0"/>
        <w:jc w:val="both"/>
      </w:pPr>
      <w:r>
        <w:t xml:space="preserve">Opisane wyżej okoliczności stanowią podstawę do wymierzenia kary pieniężnej z art. 40 a ust. 1 </w:t>
      </w:r>
      <w:proofErr w:type="spellStart"/>
      <w:r>
        <w:t>pkt</w:t>
      </w:r>
      <w:proofErr w:type="spellEnd"/>
      <w:r>
        <w:t xml:space="preserve"> 3 ustawy o jakości handlowej. Przy uwzględnieniu wszystkich opisanych wyżej przesłanek rozstrzygnięto jak w se</w:t>
      </w:r>
      <w:r>
        <w:t>ntencji.</w:t>
      </w:r>
      <w:r>
        <w:br w:type="page"/>
      </w:r>
    </w:p>
    <w:p w:rsidR="00E75473" w:rsidRDefault="00DE2209">
      <w:pPr>
        <w:pStyle w:val="Teksttreci20"/>
        <w:shd w:val="clear" w:color="auto" w:fill="auto"/>
        <w:ind w:left="0" w:right="0" w:firstLine="740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lastRenderedPageBreak/>
        <w:t>Pouczenie:</w:t>
      </w:r>
    </w:p>
    <w:p w:rsidR="00E75473" w:rsidRDefault="00DE2209">
      <w:pPr>
        <w:pStyle w:val="Teksttreci20"/>
        <w:numPr>
          <w:ilvl w:val="0"/>
          <w:numId w:val="4"/>
        </w:numPr>
        <w:shd w:val="clear" w:color="auto" w:fill="auto"/>
        <w:tabs>
          <w:tab w:val="left" w:pos="735"/>
        </w:tabs>
      </w:pPr>
      <w:r>
        <w:t xml:space="preserve">Od decyzji niniejszej przysługuje kontrolowanemu odwołanie do Prezesa Urzędu Ochrony Konkurencji i Konsumentów w Warszawie za pośrednictwem Warmińsko-Mazurskiego Wojewódzkiego Inspektora Inspekcji Handlowej w terminie 14 dni od dnia </w:t>
      </w:r>
      <w:r>
        <w:t>jej doręczenia (art. 127, 129 kpa).</w:t>
      </w:r>
    </w:p>
    <w:p w:rsidR="00E75473" w:rsidRDefault="00DE2209">
      <w:pPr>
        <w:pStyle w:val="Teksttreci20"/>
        <w:numPr>
          <w:ilvl w:val="0"/>
          <w:numId w:val="4"/>
        </w:numPr>
        <w:shd w:val="clear" w:color="auto" w:fill="auto"/>
        <w:tabs>
          <w:tab w:val="left" w:pos="735"/>
        </w:tabs>
      </w:pPr>
      <w:r>
        <w:t>Zapłaty kary pieniężnej należy dokonać w terminie 30 dni od dnia, w którym decyzja o wymierzeniu kary stała się ostateczna, zgodnie z art. 40a ust. 6 ustawy z dnia 21 grudnia 2000 r. o jakości handlowej. Wpłaty' należy d</w:t>
      </w:r>
      <w:r>
        <w:t>okonać na wskazane niżej konto bankowe (art. 40a ust. 7 ustawy o jakości handlowej).</w:t>
      </w:r>
    </w:p>
    <w:p w:rsidR="00E75473" w:rsidRDefault="00DE2209">
      <w:pPr>
        <w:pStyle w:val="Teksttreci20"/>
        <w:numPr>
          <w:ilvl w:val="0"/>
          <w:numId w:val="4"/>
        </w:numPr>
        <w:shd w:val="clear" w:color="auto" w:fill="auto"/>
        <w:tabs>
          <w:tab w:val="left" w:pos="735"/>
        </w:tabs>
      </w:pPr>
      <w:r>
        <w:t xml:space="preserve">Zgodnie z art. 40a ust. 8 ustawy o jakości handlowej w zakresie nieuregulowanym w ustawie, do kar pieniężnych stosuje się odpowiednio przepisy działu III ustawy z dnia 29 </w:t>
      </w:r>
      <w:r>
        <w:t>sierpnia 1997 r. Ordynacja podatkowa (tekst jednolity Dz. U. z 2018 r., poz. 800 ze zm.)</w:t>
      </w:r>
    </w:p>
    <w:p w:rsidR="0094443B" w:rsidRDefault="00DE2209" w:rsidP="0094443B">
      <w:pPr>
        <w:pStyle w:val="Teksttreci20"/>
        <w:shd w:val="clear" w:color="auto" w:fill="auto"/>
        <w:spacing w:line="254" w:lineRule="auto"/>
        <w:ind w:left="0" w:right="0" w:firstLine="0"/>
      </w:pPr>
      <w:r>
        <w:t>Wojewódzki Inspektorat Inspekcji Handlowej w' Olsztynie</w:t>
      </w:r>
      <w:r w:rsidR="0094443B" w:rsidRPr="0094443B">
        <w:t xml:space="preserve"> </w:t>
      </w:r>
      <w:r w:rsidR="0094443B">
        <w:t>ul. Dąbrowszczaków’ 10, 10-540 Olsztyn</w:t>
      </w:r>
    </w:p>
    <w:p w:rsidR="0094443B" w:rsidRDefault="0094443B" w:rsidP="0094443B">
      <w:pPr>
        <w:pStyle w:val="Teksttreci20"/>
        <w:shd w:val="clear" w:color="auto" w:fill="auto"/>
        <w:spacing w:line="254" w:lineRule="auto"/>
        <w:ind w:left="0" w:right="0" w:firstLine="0"/>
      </w:pPr>
      <w:r>
        <w:t xml:space="preserve">Narodowy Bank Polski Oddział Okręgowy w’ Olsztynie </w:t>
      </w:r>
    </w:p>
    <w:p w:rsidR="0094443B" w:rsidRDefault="0094443B" w:rsidP="0094443B">
      <w:pPr>
        <w:pStyle w:val="Teksttreci20"/>
        <w:shd w:val="clear" w:color="auto" w:fill="auto"/>
        <w:spacing w:line="254" w:lineRule="auto"/>
        <w:ind w:left="0" w:right="0" w:firstLine="0"/>
      </w:pPr>
      <w:r>
        <w:t>Nr rachunku: 90 1010 1397 0032 0322 3100 0000</w:t>
      </w:r>
    </w:p>
    <w:p w:rsidR="00E75473" w:rsidRPr="001B1B06" w:rsidRDefault="00E75473" w:rsidP="0094443B">
      <w:pPr>
        <w:pStyle w:val="Teksttreci20"/>
        <w:shd w:val="clear" w:color="auto" w:fill="auto"/>
        <w:ind w:left="0" w:right="0" w:firstLine="0"/>
        <w:rPr>
          <w:sz w:val="24"/>
          <w:szCs w:val="24"/>
        </w:rPr>
      </w:pPr>
    </w:p>
    <w:p w:rsidR="001B1B06" w:rsidRPr="001B1B06" w:rsidRDefault="001B1B06" w:rsidP="001B1B06">
      <w:pPr>
        <w:pStyle w:val="Nagwek1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B1B06" w:rsidRDefault="001B1B06" w:rsidP="001B1B06">
      <w:pPr>
        <w:pStyle w:val="Nagwek1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1B1B06">
        <w:rPr>
          <w:rFonts w:ascii="Times New Roman" w:hAnsi="Times New Roman" w:cs="Times New Roman"/>
          <w:sz w:val="20"/>
          <w:szCs w:val="20"/>
          <w:u w:val="single"/>
        </w:rPr>
        <w:t>Otrzymują:</w:t>
      </w:r>
    </w:p>
    <w:p w:rsidR="001B1B06" w:rsidRPr="001B1B06" w:rsidRDefault="001B1B06" w:rsidP="001B1B06">
      <w:pPr>
        <w:pStyle w:val="Nagwek10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1B1B06">
        <w:rPr>
          <w:rFonts w:ascii="Times New Roman" w:hAnsi="Times New Roman" w:cs="Times New Roman"/>
          <w:sz w:val="20"/>
          <w:szCs w:val="20"/>
          <w:u w:val="single"/>
        </w:rPr>
        <w:t>(</w:t>
      </w:r>
      <w:r w:rsidRPr="001B1B06">
        <w:rPr>
          <w:rFonts w:ascii="Times New Roman" w:hAnsi="Times New Roman" w:cs="Times New Roman"/>
          <w:b/>
          <w:i/>
          <w:sz w:val="20"/>
          <w:szCs w:val="20"/>
        </w:rPr>
        <w:t xml:space="preserve">Dane </w:t>
      </w:r>
      <w:proofErr w:type="spellStart"/>
      <w:r w:rsidRPr="001B1B06">
        <w:rPr>
          <w:rFonts w:ascii="Times New Roman" w:hAnsi="Times New Roman" w:cs="Times New Roman"/>
          <w:b/>
          <w:i/>
          <w:sz w:val="20"/>
          <w:szCs w:val="20"/>
        </w:rPr>
        <w:t>zanonimizowane</w:t>
      </w:r>
      <w:proofErr w:type="spellEnd"/>
      <w:r w:rsidRPr="001B1B06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1B1B06" w:rsidRPr="001B1B06" w:rsidRDefault="00DE2209" w:rsidP="001B1B06">
      <w:pPr>
        <w:pStyle w:val="Nagwek10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1B1B06">
        <w:rPr>
          <w:rFonts w:ascii="Times New Roman" w:hAnsi="Times New Roman" w:cs="Times New Roman"/>
          <w:sz w:val="20"/>
          <w:szCs w:val="20"/>
        </w:rPr>
        <w:t>Wydział Budżetowo-A</w:t>
      </w:r>
      <w:r w:rsidR="001B1B06" w:rsidRPr="001B1B06">
        <w:rPr>
          <w:rFonts w:ascii="Times New Roman" w:hAnsi="Times New Roman" w:cs="Times New Roman"/>
          <w:sz w:val="20"/>
          <w:szCs w:val="20"/>
        </w:rPr>
        <w:t>dministracyjny WIIH w Olsztynie</w:t>
      </w:r>
    </w:p>
    <w:p w:rsidR="00E75473" w:rsidRPr="001B1B06" w:rsidRDefault="00DE2209" w:rsidP="001B1B06">
      <w:pPr>
        <w:pStyle w:val="Nagwek10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1B1B06">
        <w:rPr>
          <w:rFonts w:ascii="Times New Roman" w:hAnsi="Times New Roman" w:cs="Times New Roman"/>
          <w:sz w:val="20"/>
          <w:szCs w:val="20"/>
        </w:rPr>
        <w:t>a/a.</w:t>
      </w:r>
    </w:p>
    <w:sectPr w:rsidR="00E75473" w:rsidRPr="001B1B06" w:rsidSect="00E75473">
      <w:type w:val="continuous"/>
      <w:pgSz w:w="11900" w:h="16840"/>
      <w:pgMar w:top="1181" w:right="1327" w:bottom="1323" w:left="11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209" w:rsidRDefault="00DE2209" w:rsidP="00E75473">
      <w:r>
        <w:separator/>
      </w:r>
    </w:p>
  </w:endnote>
  <w:endnote w:type="continuationSeparator" w:id="0">
    <w:p w:rsidR="00DE2209" w:rsidRDefault="00DE2209" w:rsidP="00E7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73" w:rsidRDefault="00E7547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89.7pt;margin-top:787.95pt;width:4.3pt;height:6.7pt;z-index:-18874406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75473" w:rsidRDefault="00E75473">
                <w:pPr>
                  <w:pStyle w:val="Nagweklubstopka20"/>
                  <w:shd w:val="clear" w:color="auto" w:fill="auto"/>
                </w:pPr>
                <w:fldSimple w:instr=" PAGE \* MERGEFORMAT ">
                  <w:r w:rsidR="001B1B06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73" w:rsidRDefault="00E7547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8.95pt;margin-top:795.4pt;width:1.9pt;height:6.95pt;z-index:-18874406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75473" w:rsidRDefault="00E75473">
                <w:pPr>
                  <w:pStyle w:val="Nagweklubstopka20"/>
                  <w:shd w:val="clear" w:color="auto" w:fill="auto"/>
                </w:pPr>
                <w:fldSimple w:instr=" PAGE \* MERGEFORMAT ">
                  <w:r w:rsidR="0094443B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209" w:rsidRDefault="00DE2209"/>
  </w:footnote>
  <w:footnote w:type="continuationSeparator" w:id="0">
    <w:p w:rsidR="00DE2209" w:rsidRDefault="00DE22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BC3"/>
    <w:multiLevelType w:val="hybridMultilevel"/>
    <w:tmpl w:val="8F0C4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C11F9"/>
    <w:multiLevelType w:val="multilevel"/>
    <w:tmpl w:val="7FE4F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AD4013"/>
    <w:multiLevelType w:val="multilevel"/>
    <w:tmpl w:val="97540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BE2D85"/>
    <w:multiLevelType w:val="multilevel"/>
    <w:tmpl w:val="010C9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D7277C"/>
    <w:multiLevelType w:val="multilevel"/>
    <w:tmpl w:val="E2462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75473"/>
    <w:rsid w:val="001B1B06"/>
    <w:rsid w:val="0094443B"/>
    <w:rsid w:val="00DE2209"/>
    <w:rsid w:val="00E75473"/>
    <w:rsid w:val="00F1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7547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75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E75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sid w:val="00E75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rsid w:val="00E75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">
    <w:name w:val="Tekst treści (4)_"/>
    <w:basedOn w:val="Domylnaczcionkaakapitu"/>
    <w:link w:val="Teksttreci40"/>
    <w:rsid w:val="00E75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E754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E75473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sid w:val="00E75473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Teksttreci0">
    <w:name w:val="Tekst treści"/>
    <w:basedOn w:val="Normalny"/>
    <w:link w:val="Teksttreci"/>
    <w:rsid w:val="00E7547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sid w:val="00E7547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E7547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E75473"/>
    <w:pPr>
      <w:shd w:val="clear" w:color="auto" w:fill="FFFFFF"/>
      <w:ind w:left="740" w:right="280" w:hanging="34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40">
    <w:name w:val="Tekst treści (4)"/>
    <w:basedOn w:val="Normalny"/>
    <w:link w:val="Teksttreci4"/>
    <w:rsid w:val="00E7547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E75473"/>
    <w:pPr>
      <w:shd w:val="clear" w:color="auto" w:fill="FFFFFF"/>
      <w:spacing w:after="5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E75473"/>
    <w:pPr>
      <w:shd w:val="clear" w:color="auto" w:fill="FFFFFF"/>
      <w:spacing w:after="400" w:line="276" w:lineRule="auto"/>
      <w:ind w:left="6740" w:right="460"/>
      <w:jc w:val="right"/>
    </w:pPr>
    <w:rPr>
      <w:rFonts w:ascii="Arial" w:eastAsia="Arial" w:hAnsi="Arial" w:cs="Arial"/>
      <w:w w:val="70"/>
      <w:sz w:val="16"/>
      <w:szCs w:val="16"/>
    </w:rPr>
  </w:style>
  <w:style w:type="paragraph" w:customStyle="1" w:styleId="Nagwek10">
    <w:name w:val="Nagłówek #1"/>
    <w:basedOn w:val="Normalny"/>
    <w:link w:val="Nagwek1"/>
    <w:rsid w:val="00E75473"/>
    <w:pPr>
      <w:shd w:val="clear" w:color="auto" w:fill="FFFFFF"/>
      <w:spacing w:after="200" w:line="180" w:lineRule="auto"/>
      <w:ind w:firstLine="380"/>
      <w:outlineLvl w:val="0"/>
    </w:pPr>
    <w:rPr>
      <w:rFonts w:ascii="Arial" w:eastAsia="Arial" w:hAnsi="Arial" w:cs="Arial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3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3D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1945</Words>
  <Characters>11675</Characters>
  <Application>Microsoft Office Word</Application>
  <DocSecurity>0</DocSecurity>
  <Lines>97</Lines>
  <Paragraphs>27</Paragraphs>
  <ScaleCrop>false</ScaleCrop>
  <Company/>
  <LinksUpToDate>false</LinksUpToDate>
  <CharactersWithSpaces>13593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Lukasz</dc:creator>
  <cp:keywords/>
  <cp:lastModifiedBy>Użytkownik systemu Windows</cp:lastModifiedBy>
  <cp:revision>4</cp:revision>
  <dcterms:created xsi:type="dcterms:W3CDTF">2019-12-04T17:59:00Z</dcterms:created>
  <dcterms:modified xsi:type="dcterms:W3CDTF">2019-12-04T18:08:00Z</dcterms:modified>
</cp:coreProperties>
</file>